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BC45" w14:textId="71477CF2" w:rsidR="00832986" w:rsidRDefault="00E90E49" w:rsidP="00900B76">
      <w:pPr>
        <w:pStyle w:val="3GPPHeader"/>
        <w:spacing w:after="60"/>
        <w:rPr>
          <w:sz w:val="32"/>
          <w:szCs w:val="32"/>
          <w:lang w:val="en-US"/>
        </w:rPr>
      </w:pPr>
      <w:r w:rsidRPr="00BB669A">
        <w:rPr>
          <w:lang w:val="en-US"/>
        </w:rPr>
        <w:t>3GPP TSG-RAN WG</w:t>
      </w:r>
      <w:r w:rsidR="00F20F5C" w:rsidRPr="00BB669A">
        <w:rPr>
          <w:lang w:val="en-US"/>
        </w:rPr>
        <w:t>2</w:t>
      </w:r>
      <w:r w:rsidRPr="00BB669A">
        <w:rPr>
          <w:lang w:val="en-US"/>
        </w:rPr>
        <w:t xml:space="preserve"> </w:t>
      </w:r>
      <w:r w:rsidR="00671EA9">
        <w:rPr>
          <w:lang w:val="en-US"/>
        </w:rPr>
        <w:t xml:space="preserve">Meeting </w:t>
      </w:r>
      <w:r w:rsidRPr="00BB669A">
        <w:rPr>
          <w:lang w:val="en-US"/>
        </w:rPr>
        <w:t>#</w:t>
      </w:r>
      <w:r w:rsidR="007A1255" w:rsidRPr="00BB669A">
        <w:rPr>
          <w:lang w:val="en-US"/>
        </w:rPr>
        <w:t>12</w:t>
      </w:r>
      <w:r w:rsidR="008C4039">
        <w:rPr>
          <w:lang w:val="en-US"/>
        </w:rPr>
        <w:t>2</w:t>
      </w:r>
      <w:r w:rsidRPr="00BB669A">
        <w:rPr>
          <w:lang w:val="en-US"/>
        </w:rPr>
        <w:tab/>
      </w:r>
      <w:r w:rsidR="00832986" w:rsidRPr="00832986">
        <w:rPr>
          <w:sz w:val="32"/>
          <w:szCs w:val="32"/>
          <w:lang w:val="en-US"/>
        </w:rPr>
        <w:t>R2-230</w:t>
      </w:r>
      <w:r w:rsidR="008F6A29">
        <w:rPr>
          <w:sz w:val="32"/>
          <w:szCs w:val="32"/>
          <w:lang w:val="en-US"/>
        </w:rPr>
        <w:t>6009</w:t>
      </w:r>
    </w:p>
    <w:p w14:paraId="0DEF01D1" w14:textId="121C12D7" w:rsidR="00E90E49" w:rsidRPr="00CE0424" w:rsidRDefault="008C4039" w:rsidP="00900B76">
      <w:pPr>
        <w:pStyle w:val="3GPPHeader"/>
        <w:spacing w:after="60"/>
      </w:pPr>
      <w:r>
        <w:t>Incheon</w:t>
      </w:r>
      <w:r w:rsidR="00C268E6">
        <w:t>,</w:t>
      </w:r>
      <w:r>
        <w:t xml:space="preserve"> South Korea,</w:t>
      </w:r>
      <w:r w:rsidR="00C268E6">
        <w:t xml:space="preserve"> </w:t>
      </w:r>
      <w:r>
        <w:t>22</w:t>
      </w:r>
      <w:r>
        <w:rPr>
          <w:vertAlign w:val="superscript"/>
        </w:rPr>
        <w:t>nd</w:t>
      </w:r>
      <w:r w:rsidR="00087A55">
        <w:t xml:space="preserve"> </w:t>
      </w:r>
      <w:r w:rsidR="00260112">
        <w:t xml:space="preserve">– </w:t>
      </w:r>
      <w:r w:rsidR="00E30BCD">
        <w:t>26</w:t>
      </w:r>
      <w:r w:rsidR="00E30BCD" w:rsidRPr="00E30BCD">
        <w:rPr>
          <w:vertAlign w:val="superscript"/>
        </w:rPr>
        <w:t>th</w:t>
      </w:r>
      <w:r w:rsidR="00E30BCD">
        <w:t xml:space="preserve"> </w:t>
      </w:r>
      <w:r>
        <w:t>May</w:t>
      </w:r>
      <w:r w:rsidR="00260112">
        <w:t xml:space="preserve"> 202</w:t>
      </w:r>
      <w:r w:rsidR="00087A55">
        <w:t>3</w:t>
      </w:r>
    </w:p>
    <w:p w14:paraId="252563D4" w14:textId="77777777" w:rsidR="00E90E49" w:rsidRPr="00CE0424" w:rsidRDefault="00E90E49" w:rsidP="00357380">
      <w:pPr>
        <w:pStyle w:val="3GPPHeader"/>
      </w:pPr>
    </w:p>
    <w:p w14:paraId="267378A2" w14:textId="79AB3EDB" w:rsidR="00E90E49" w:rsidRPr="00EE4D69" w:rsidRDefault="00E90E49" w:rsidP="00311702">
      <w:pPr>
        <w:pStyle w:val="3GPPHeader"/>
        <w:rPr>
          <w:sz w:val="22"/>
          <w:szCs w:val="22"/>
          <w:lang w:val="en-US"/>
        </w:rPr>
      </w:pPr>
      <w:r w:rsidRPr="00EE4D69">
        <w:rPr>
          <w:sz w:val="22"/>
          <w:szCs w:val="22"/>
          <w:lang w:val="en-US"/>
        </w:rPr>
        <w:t>Agenda Item:</w:t>
      </w:r>
      <w:r w:rsidRPr="00EE4D69">
        <w:rPr>
          <w:sz w:val="22"/>
          <w:szCs w:val="22"/>
          <w:lang w:val="en-US"/>
        </w:rPr>
        <w:tab/>
      </w:r>
      <w:r w:rsidR="004E0FAA">
        <w:rPr>
          <w:sz w:val="22"/>
          <w:szCs w:val="22"/>
          <w:lang w:val="en-US"/>
        </w:rPr>
        <w:t>7.</w:t>
      </w:r>
      <w:r w:rsidR="008F6A29">
        <w:rPr>
          <w:sz w:val="22"/>
          <w:szCs w:val="22"/>
          <w:lang w:val="en-US"/>
        </w:rPr>
        <w:t>12</w:t>
      </w:r>
      <w:r w:rsidR="004E0FAA">
        <w:rPr>
          <w:sz w:val="22"/>
          <w:szCs w:val="22"/>
          <w:lang w:val="en-US"/>
        </w:rPr>
        <w:t>.</w:t>
      </w:r>
      <w:r w:rsidR="008F6A29">
        <w:rPr>
          <w:sz w:val="22"/>
          <w:szCs w:val="22"/>
          <w:lang w:val="en-US"/>
        </w:rPr>
        <w:t>2</w:t>
      </w:r>
      <w:r w:rsidR="004E0FAA">
        <w:rPr>
          <w:sz w:val="22"/>
          <w:szCs w:val="22"/>
          <w:lang w:val="en-US"/>
        </w:rPr>
        <w:t>.</w:t>
      </w:r>
      <w:r w:rsidR="008F6A29">
        <w:rPr>
          <w:sz w:val="22"/>
          <w:szCs w:val="22"/>
          <w:lang w:val="en-US"/>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A753CAE" w:rsidR="00E90E49" w:rsidRPr="00CE0424" w:rsidRDefault="003D3C45" w:rsidP="00311702">
      <w:pPr>
        <w:pStyle w:val="3GPPHeader"/>
        <w:rPr>
          <w:sz w:val="22"/>
          <w:szCs w:val="22"/>
        </w:rPr>
      </w:pPr>
      <w:r>
        <w:rPr>
          <w:sz w:val="22"/>
          <w:szCs w:val="22"/>
        </w:rPr>
        <w:t>Title:</w:t>
      </w:r>
      <w:r w:rsidR="00E90E49" w:rsidRPr="00CE0424">
        <w:rPr>
          <w:sz w:val="22"/>
          <w:szCs w:val="22"/>
        </w:rPr>
        <w:tab/>
      </w:r>
      <w:r w:rsidR="00E30BCD" w:rsidRPr="00E30BCD">
        <w:rPr>
          <w:sz w:val="22"/>
          <w:szCs w:val="22"/>
        </w:rPr>
        <w:t>Issues on supporting RACH-less for mobile IAB</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28A52D77" w14:textId="4B705F3C" w:rsidR="00CE20D7" w:rsidRDefault="007F25FA" w:rsidP="00C44D19">
      <w:pPr>
        <w:pStyle w:val="BodyText"/>
      </w:pPr>
      <w:r>
        <w:t xml:space="preserve">In the </w:t>
      </w:r>
      <w:r w:rsidR="00B74563">
        <w:t xml:space="preserve">last </w:t>
      </w:r>
      <w:r>
        <w:t>RAN2#</w:t>
      </w:r>
      <w:r w:rsidR="00B74563">
        <w:t>121-bis</w:t>
      </w:r>
      <w:r w:rsidR="00C44D19">
        <w:t>-e</w:t>
      </w:r>
      <w:r>
        <w:t xml:space="preserve"> meeting, the following agreement </w:t>
      </w:r>
      <w:r w:rsidR="00C44D19">
        <w:t>has</w:t>
      </w:r>
      <w:r>
        <w:t xml:space="preserve"> been reached regarding </w:t>
      </w:r>
      <w:r w:rsidR="00C44D19">
        <w:t>the support of RACH-less handover for mobile IAB.</w:t>
      </w:r>
    </w:p>
    <w:p w14:paraId="3B061D05" w14:textId="77777777" w:rsidR="00B74563" w:rsidRDefault="00B74563" w:rsidP="00B74563">
      <w:pPr>
        <w:pStyle w:val="Agreement"/>
      </w:pPr>
      <w:r>
        <w:t xml:space="preserve">Feasibility of beam handling during RACH-less HO in the </w:t>
      </w:r>
      <w:proofErr w:type="spellStart"/>
      <w:r>
        <w:t>mIAB</w:t>
      </w:r>
      <w:proofErr w:type="spellEnd"/>
      <w:r>
        <w:t xml:space="preserve"> WI is FFS (and this need to be addressed for RACH-less to be supported for </w:t>
      </w:r>
      <w:proofErr w:type="spellStart"/>
      <w:r>
        <w:t>mIAB</w:t>
      </w:r>
      <w:proofErr w:type="spellEnd"/>
      <w:r>
        <w:t xml:space="preserve">). </w:t>
      </w:r>
    </w:p>
    <w:p w14:paraId="749428F2" w14:textId="77777777" w:rsidR="00B74563" w:rsidRDefault="00B74563" w:rsidP="00B74563">
      <w:pPr>
        <w:pStyle w:val="Agreement"/>
      </w:pPr>
      <w:r>
        <w:t>RAN2 discuss further the following options to support beam operation for the first UL transmission/DL reception towards the target logical DU in RACH-less HO during DU migration:</w:t>
      </w:r>
    </w:p>
    <w:p w14:paraId="72F3CDD6" w14:textId="77777777" w:rsidR="00B74563" w:rsidRDefault="00B74563" w:rsidP="00B74563">
      <w:pPr>
        <w:pStyle w:val="Agreement"/>
        <w:numPr>
          <w:ilvl w:val="0"/>
          <w:numId w:val="0"/>
        </w:numPr>
        <w:ind w:left="1619"/>
      </w:pPr>
      <w:r>
        <w:t xml:space="preserve">Option 1: (Explicit approach) Explicit beam information is included in HO command. FFS the details. </w:t>
      </w:r>
    </w:p>
    <w:p w14:paraId="0E2C89C0" w14:textId="77777777" w:rsidR="00B74563" w:rsidRPr="00DB2763" w:rsidRDefault="00B74563" w:rsidP="00B74563">
      <w:pPr>
        <w:pStyle w:val="Agreement"/>
        <w:numPr>
          <w:ilvl w:val="0"/>
          <w:numId w:val="0"/>
        </w:numPr>
        <w:ind w:left="1619"/>
      </w:pPr>
      <w:r>
        <w:t>Option 2: (Implicit approach) UE re-uses the same beam status as in the source cell (the beam information is not carried explicitly in HO command).</w:t>
      </w:r>
    </w:p>
    <w:p w14:paraId="5DAD39BB" w14:textId="77777777" w:rsidR="00B74563" w:rsidRDefault="00B74563" w:rsidP="00B74563">
      <w:pPr>
        <w:pStyle w:val="Agreement"/>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5AFD37D8" w14:textId="08F6F472" w:rsidR="00C44D19" w:rsidRDefault="00C44D19" w:rsidP="00C44D19">
      <w:pPr>
        <w:pStyle w:val="BodyText"/>
      </w:pPr>
    </w:p>
    <w:p w14:paraId="5BDC6BA3" w14:textId="0BA5A86D" w:rsidR="007F25FA" w:rsidRPr="00CE0424" w:rsidRDefault="00C44D19" w:rsidP="00C44D19">
      <w:pPr>
        <w:pStyle w:val="BodyText"/>
      </w:pPr>
      <w:r>
        <w:t>In this contribution we will address the feasibility of supporting RACH-less handover for mobile IAB.</w:t>
      </w:r>
    </w:p>
    <w:p w14:paraId="6B9E4C24" w14:textId="0408B4FA" w:rsidR="00605E8A" w:rsidRDefault="00463D05" w:rsidP="00C44D19">
      <w:pPr>
        <w:pStyle w:val="Heading1"/>
      </w:pPr>
      <w:bookmarkStart w:id="0" w:name="_Ref178064866"/>
      <w:r>
        <w:t>2</w:t>
      </w:r>
      <w:r>
        <w:tab/>
      </w:r>
      <w:r w:rsidR="004000E8" w:rsidRPr="00CE0424">
        <w:t>Discussion</w:t>
      </w:r>
      <w:bookmarkEnd w:id="0"/>
    </w:p>
    <w:p w14:paraId="76C621F5" w14:textId="748808D9" w:rsidR="007266BE" w:rsidRDefault="007266BE" w:rsidP="00605E8A">
      <w:pPr>
        <w:pStyle w:val="BodyText"/>
      </w:pPr>
      <w:r>
        <w:t xml:space="preserve">According to the agreement taken in the last RAN2 meeting, three main topics needs to be discussed </w:t>
      </w:r>
      <w:proofErr w:type="gramStart"/>
      <w:r>
        <w:t>in order to</w:t>
      </w:r>
      <w:proofErr w:type="gramEnd"/>
      <w:r>
        <w:t xml:space="preserve"> judge the feasibility of supporting RACH-less HO for the case of a mobile IAB. These are </w:t>
      </w:r>
      <w:proofErr w:type="spellStart"/>
      <w:r w:rsidRPr="007266BE">
        <w:rPr>
          <w:i/>
          <w:iCs/>
        </w:rPr>
        <w:t>i</w:t>
      </w:r>
      <w:proofErr w:type="spellEnd"/>
      <w:r w:rsidRPr="007266BE">
        <w:rPr>
          <w:i/>
          <w:iCs/>
        </w:rPr>
        <w:t>)</w:t>
      </w:r>
      <w:r>
        <w:t xml:space="preserve"> how the UL grant is assigned by the network, </w:t>
      </w:r>
      <w:r w:rsidRPr="007266BE">
        <w:rPr>
          <w:i/>
          <w:iCs/>
        </w:rPr>
        <w:t>ii)</w:t>
      </w:r>
      <w:r>
        <w:t xml:space="preserve"> </w:t>
      </w:r>
      <w:r w:rsidR="00097579">
        <w:t xml:space="preserve">how the TA is handled during the RACH-less handover, and </w:t>
      </w:r>
      <w:r w:rsidR="00097579" w:rsidRPr="00097579">
        <w:rPr>
          <w:i/>
          <w:iCs/>
        </w:rPr>
        <w:t>iii)</w:t>
      </w:r>
      <w:r w:rsidR="00097579">
        <w:t xml:space="preserve"> what beam the UE needs to use once a RACH-less handover is triggered.</w:t>
      </w:r>
    </w:p>
    <w:p w14:paraId="6F954C9A" w14:textId="73BD6F12" w:rsidR="005B02B9" w:rsidRDefault="005B02B9" w:rsidP="005B02B9">
      <w:pPr>
        <w:pStyle w:val="Heading3"/>
      </w:pPr>
      <w:r>
        <w:t>2.1</w:t>
      </w:r>
      <w:r>
        <w:tab/>
        <w:t>TA management in RACH-less HO for mobile IAB</w:t>
      </w:r>
    </w:p>
    <w:p w14:paraId="0E8EF9BD" w14:textId="636139A2" w:rsidR="00605E8A" w:rsidRDefault="00097579" w:rsidP="00605E8A">
      <w:pPr>
        <w:pStyle w:val="BodyText"/>
      </w:pPr>
      <w:r>
        <w:t xml:space="preserve">About the handling of the TA, </w:t>
      </w:r>
      <w:r w:rsidR="00F628EE">
        <w:t>w</w:t>
      </w:r>
      <w:r w:rsidR="00605E8A">
        <w:t>hen the mobile IAB changes its donor-CU (changed e.g., during a handover leaving the old CU service area), this has also an impact on UEs served by the mobile IAB. This is mainly because some of the parameter of the cell that is hosted on the mobile IAB may change and because the new CU may decide to reconfigure even the DU part of the mobile IAB (in case of full migration).</w:t>
      </w:r>
    </w:p>
    <w:p w14:paraId="1E0F8EC5" w14:textId="11E475EF" w:rsidR="00605E8A" w:rsidRDefault="00605E8A" w:rsidP="00605E8A">
      <w:pPr>
        <w:pStyle w:val="BodyText"/>
      </w:pPr>
      <w:r>
        <w:t xml:space="preserve">However, one of the aspects to be considered is that, from the perspective of a UE served by the mobile IAB, even if the mobile IAB </w:t>
      </w:r>
      <w:r w:rsidR="00D42072">
        <w:t>changes its donor CU</w:t>
      </w:r>
      <w:r>
        <w:t>, a UE that is served by the mobile IAB does not really change any cell as is still physically located within the coverage of the mobile IAB.</w:t>
      </w:r>
    </w:p>
    <w:p w14:paraId="74FA93E1" w14:textId="0ECE719C" w:rsidR="006B1206" w:rsidRDefault="00605E8A" w:rsidP="00605E8A">
      <w:pPr>
        <w:pStyle w:val="Observation"/>
      </w:pPr>
      <w:bookmarkStart w:id="1" w:name="_Toc125646685"/>
      <w:bookmarkStart w:id="2" w:name="_Toc134439842"/>
      <w:r w:rsidRPr="00FF3B47">
        <w:t xml:space="preserve">Even if the mobile IAB </w:t>
      </w:r>
      <w:r w:rsidR="00D42072">
        <w:t>changes its donor CU</w:t>
      </w:r>
      <w:r w:rsidRPr="00FF3B47">
        <w:t xml:space="preserve">, a UE that is served by the mobile IAB does not really change any cell as </w:t>
      </w:r>
      <w:r>
        <w:t xml:space="preserve">it </w:t>
      </w:r>
      <w:r w:rsidRPr="00FF3B47">
        <w:t>is still physically located within the coverage of the mobile IAB.</w:t>
      </w:r>
      <w:bookmarkEnd w:id="1"/>
      <w:bookmarkEnd w:id="2"/>
    </w:p>
    <w:p w14:paraId="2C0270F5" w14:textId="5AAAE6C1" w:rsidR="006B1206" w:rsidRDefault="00605E8A" w:rsidP="00605E8A">
      <w:pPr>
        <w:pStyle w:val="BodyText"/>
      </w:pPr>
      <w:r>
        <w:lastRenderedPageBreak/>
        <w:t xml:space="preserve">According to this, </w:t>
      </w:r>
      <w:r w:rsidR="006B1206">
        <w:t xml:space="preserve">RAN2 has already agreed that RACH-less HO with same TA with security key change is in scope for served UEs during </w:t>
      </w:r>
      <w:proofErr w:type="spellStart"/>
      <w:r w:rsidR="006B1206">
        <w:t>mIAB</w:t>
      </w:r>
      <w:proofErr w:type="spellEnd"/>
      <w:r w:rsidR="006B1206">
        <w:t xml:space="preserve"> DU migration</w:t>
      </w:r>
      <w:r w:rsidR="005B02B9">
        <w:t xml:space="preserve">. Nevertheless, it seems that </w:t>
      </w:r>
      <w:proofErr w:type="gramStart"/>
      <w:r w:rsidR="005B02B9">
        <w:t>at the moment</w:t>
      </w:r>
      <w:proofErr w:type="gramEnd"/>
      <w:r w:rsidR="005B02B9">
        <w:t xml:space="preserve"> this is the only scenario supported, meaning that no new TA value will be provided to the UE within the HO command. However, if is RAN2 took </w:t>
      </w:r>
      <w:proofErr w:type="gramStart"/>
      <w:r w:rsidR="005B02B9">
        <w:t>this agreements</w:t>
      </w:r>
      <w:proofErr w:type="gramEnd"/>
      <w:r w:rsidR="005B02B9">
        <w:t>, this has to be confirmed with RAN1 as the TA management is a shared responsibility between RAN1 and RAN2.</w:t>
      </w:r>
    </w:p>
    <w:p w14:paraId="22846A38" w14:textId="0EBC3259" w:rsidR="005B02B9" w:rsidRDefault="005B02B9" w:rsidP="005B02B9">
      <w:pPr>
        <w:pStyle w:val="Proposal"/>
      </w:pPr>
      <w:bookmarkStart w:id="3" w:name="_Toc134439849"/>
      <w:r>
        <w:t xml:space="preserve">If RACH-less HO is supported for mobile IAB, RAN2 to </w:t>
      </w:r>
      <w:r w:rsidR="0074757D">
        <w:t>assume</w:t>
      </w:r>
      <w:r>
        <w:t xml:space="preserve"> that RACH-less HO with same TA (and security key change) is the only supported scenario.</w:t>
      </w:r>
      <w:bookmarkEnd w:id="3"/>
    </w:p>
    <w:p w14:paraId="45779FA2" w14:textId="37D10608" w:rsidR="005B02B9" w:rsidRDefault="0064531E" w:rsidP="0064531E">
      <w:pPr>
        <w:pStyle w:val="Heading3"/>
      </w:pPr>
      <w:r>
        <w:t>2.2</w:t>
      </w:r>
      <w:r>
        <w:tab/>
        <w:t>UL grant assignment for RACH-less HO in mobile IAB</w:t>
      </w:r>
    </w:p>
    <w:p w14:paraId="697359CD" w14:textId="3DF96D0E" w:rsidR="00F317A7" w:rsidRDefault="00F317A7" w:rsidP="00F317A7">
      <w:pPr>
        <w:pStyle w:val="BodyText"/>
      </w:pPr>
      <w:r>
        <w:t xml:space="preserve">Even if it could be feasible for a UE to keep it current TA when </w:t>
      </w:r>
      <w:r w:rsidR="005449C3" w:rsidRPr="00FF3B47">
        <w:t>the mobile IAB</w:t>
      </w:r>
      <w:r w:rsidR="00D42072">
        <w:t xml:space="preserve"> changes its donor CU, maintaining the TA is only one of the pieces needed to perform a RACH-less handover.</w:t>
      </w:r>
      <w:r w:rsidR="00A658DC">
        <w:t xml:space="preserve"> In fact, </w:t>
      </w:r>
      <w:r w:rsidR="00EC5389">
        <w:t>one</w:t>
      </w:r>
      <w:r w:rsidR="00A658DC">
        <w:t xml:space="preserve"> more issue to be discussed are how the UE will receive the UL grant</w:t>
      </w:r>
      <w:r w:rsidR="002C3C14">
        <w:t xml:space="preserve"> for the first UL transmission to the new target cell.</w:t>
      </w:r>
    </w:p>
    <w:p w14:paraId="232DFB7B" w14:textId="417E2F1E" w:rsidR="00886A7A" w:rsidRDefault="00886A7A" w:rsidP="00886A7A">
      <w:pPr>
        <w:pStyle w:val="Observation"/>
      </w:pPr>
      <w:bookmarkStart w:id="4" w:name="_Toc134439843"/>
      <w:r>
        <w:t>In case a mobile IAB changes its donor CU, if RACH-less handover for the UEs needs to be supported, is not clear how the UL grant is assigned.</w:t>
      </w:r>
      <w:bookmarkEnd w:id="4"/>
    </w:p>
    <w:p w14:paraId="02FCF772" w14:textId="7ECCA081" w:rsidR="00EC5389" w:rsidRDefault="001867C3" w:rsidP="00EC5389">
      <w:pPr>
        <w:pStyle w:val="BodyText"/>
      </w:pPr>
      <w:r>
        <w:t xml:space="preserve">About the assignment of the UL grant during a possible RACH-less HO for mobile IAB, two possible </w:t>
      </w:r>
      <w:r w:rsidR="00011C51">
        <w:t>approaches</w:t>
      </w:r>
      <w:r>
        <w:t xml:space="preserve"> can be considered</w:t>
      </w:r>
      <w:r w:rsidR="00E5281B">
        <w:t>:</w:t>
      </w:r>
    </w:p>
    <w:p w14:paraId="184B3DB5" w14:textId="694F1D6B" w:rsidR="00EC5389" w:rsidRDefault="00E5281B" w:rsidP="002A6254">
      <w:pPr>
        <w:pStyle w:val="BodyText"/>
        <w:numPr>
          <w:ilvl w:val="0"/>
          <w:numId w:val="14"/>
        </w:numPr>
      </w:pPr>
      <w:r>
        <w:t xml:space="preserve">The UL grant </w:t>
      </w:r>
      <w:r w:rsidR="006C08CE">
        <w:t>can be</w:t>
      </w:r>
      <w:r>
        <w:t xml:space="preserve"> part of the HO command </w:t>
      </w:r>
      <w:r w:rsidR="00011C51">
        <w:t>received by the first logical DU.</w:t>
      </w:r>
    </w:p>
    <w:p w14:paraId="6FD741CD" w14:textId="3FF86711" w:rsidR="006C08CE" w:rsidRDefault="006C08CE" w:rsidP="002A6254">
      <w:pPr>
        <w:pStyle w:val="BodyText"/>
        <w:numPr>
          <w:ilvl w:val="0"/>
          <w:numId w:val="14"/>
        </w:numPr>
      </w:pPr>
      <w:r>
        <w:t xml:space="preserve">The UL grant </w:t>
      </w:r>
      <w:r w:rsidR="00846E67">
        <w:t>can be</w:t>
      </w:r>
      <w:r>
        <w:t xml:space="preserve"> assigned </w:t>
      </w:r>
      <w:r w:rsidR="00011C51">
        <w:t>to the UE after receiving the handover command by the second logical DU.</w:t>
      </w:r>
    </w:p>
    <w:p w14:paraId="3748EC02" w14:textId="284D90E0" w:rsidR="00011C51" w:rsidRDefault="00011C51" w:rsidP="00011C51">
      <w:pPr>
        <w:pStyle w:val="BodyText"/>
      </w:pPr>
      <w:r>
        <w:t>For Approach 1, this impl</w:t>
      </w:r>
      <w:r w:rsidR="00473687">
        <w:t>ies</w:t>
      </w:r>
      <w:r>
        <w:t xml:space="preserve"> that a configured grant can be assigned by the UE as part of the HO </w:t>
      </w:r>
      <w:r w:rsidR="00F3581C">
        <w:t>command,</w:t>
      </w:r>
      <w:r>
        <w:t xml:space="preserve"> but this also imply that some level of coordination is needed over </w:t>
      </w:r>
      <w:r w:rsidR="004356C4">
        <w:t xml:space="preserve">the </w:t>
      </w:r>
      <w:r>
        <w:t>F1</w:t>
      </w:r>
      <w:r w:rsidR="004356C4">
        <w:t xml:space="preserve"> </w:t>
      </w:r>
      <w:r w:rsidR="00E01074">
        <w:t xml:space="preserve">and </w:t>
      </w:r>
      <w:proofErr w:type="spellStart"/>
      <w:r w:rsidR="00E01074">
        <w:t>Xn</w:t>
      </w:r>
      <w:proofErr w:type="spellEnd"/>
      <w:r w:rsidR="00E01074">
        <w:t xml:space="preserve"> </w:t>
      </w:r>
      <w:r w:rsidR="004356C4">
        <w:t>interface</w:t>
      </w:r>
      <w:r>
        <w:t>, which is something that is currently not supported.</w:t>
      </w:r>
      <w:r w:rsidR="004356C4">
        <w:t xml:space="preserve"> </w:t>
      </w:r>
    </w:p>
    <w:p w14:paraId="4117D00B" w14:textId="5626C733" w:rsidR="00E22C7E" w:rsidRDefault="00E22C7E" w:rsidP="00E22C7E">
      <w:pPr>
        <w:pStyle w:val="Observation"/>
      </w:pPr>
      <w:bookmarkStart w:id="5" w:name="_Toc134439844"/>
      <w:r>
        <w:t xml:space="preserve">For the Approach 1 where a configured grant is assigned within the HO command, </w:t>
      </w:r>
      <w:r w:rsidR="0096728C">
        <w:t xml:space="preserve">new coordination would be needed over the F1 and </w:t>
      </w:r>
      <w:proofErr w:type="spellStart"/>
      <w:r w:rsidR="0096728C">
        <w:t>Xn</w:t>
      </w:r>
      <w:proofErr w:type="spellEnd"/>
      <w:r w:rsidR="0096728C">
        <w:t xml:space="preserve"> interface, and this should be up to RAN3 to design.</w:t>
      </w:r>
      <w:bookmarkEnd w:id="5"/>
    </w:p>
    <w:p w14:paraId="320118FE" w14:textId="1DB1D4FB" w:rsidR="000A210A" w:rsidRDefault="000A210A" w:rsidP="00011C51">
      <w:pPr>
        <w:pStyle w:val="BodyText"/>
      </w:pPr>
      <w:r>
        <w:t>For Approach 2, instead, this implies that a dynamic grant is assigned over PDCCH by the second logical DU</w:t>
      </w:r>
      <w:r w:rsidR="00F3581C">
        <w:t xml:space="preserve"> only after that the HO command has been sent to the UE and only </w:t>
      </w:r>
      <w:r w:rsidR="00D3148A">
        <w:t xml:space="preserve">once that the UE is ready to </w:t>
      </w:r>
      <w:proofErr w:type="gramStart"/>
      <w:r w:rsidR="00D3148A">
        <w:t>transmit/received</w:t>
      </w:r>
      <w:proofErr w:type="gramEnd"/>
      <w:r w:rsidR="00D3148A">
        <w:t xml:space="preserve"> to/from the second logical DU. However, how the second logical DU is aware that the UE </w:t>
      </w:r>
      <w:r w:rsidR="00E22C7E">
        <w:t>has already applies and used the RRC configuration related to the second logical DU is not yet clear.</w:t>
      </w:r>
    </w:p>
    <w:p w14:paraId="0857BFCB" w14:textId="459B9A4D" w:rsidR="0096728C" w:rsidRDefault="0096728C" w:rsidP="0096728C">
      <w:pPr>
        <w:pStyle w:val="Observation"/>
      </w:pPr>
      <w:bookmarkStart w:id="6" w:name="_Toc134439845"/>
      <w:r>
        <w:t>For the Approach 2 where a dynamic grant is assigned after an HO command is received by the UE, is not clear how</w:t>
      </w:r>
      <w:r w:rsidR="003C3FAD">
        <w:t xml:space="preserve"> the second logical DU know when the UE has switched to the second logical DU and is ready to receive/transmit.</w:t>
      </w:r>
      <w:r w:rsidR="00D31F9C">
        <w:t xml:space="preserve"> This </w:t>
      </w:r>
      <w:proofErr w:type="gramStart"/>
      <w:r w:rsidR="00D31F9C">
        <w:t>require also</w:t>
      </w:r>
      <w:proofErr w:type="gramEnd"/>
      <w:r w:rsidR="00D31F9C">
        <w:t xml:space="preserve"> a coordination over the F1 and </w:t>
      </w:r>
      <w:proofErr w:type="spellStart"/>
      <w:r w:rsidR="00D31F9C">
        <w:t>Xn</w:t>
      </w:r>
      <w:proofErr w:type="spellEnd"/>
      <w:r w:rsidR="00D31F9C">
        <w:t xml:space="preserve"> interface that is up to RAN3.</w:t>
      </w:r>
      <w:bookmarkEnd w:id="6"/>
    </w:p>
    <w:p w14:paraId="0F63DB2F" w14:textId="032DE5DC" w:rsidR="003C3FAD" w:rsidRDefault="00D31F9C" w:rsidP="003C3FAD">
      <w:pPr>
        <w:pStyle w:val="BodyText"/>
      </w:pPr>
      <w:r>
        <w:t xml:space="preserve">Based on this, RAN2 should first discuss which approach is feasible for the assignment of an UL grant for the RACH-less HO in mobile IAB and then </w:t>
      </w:r>
      <w:proofErr w:type="spellStart"/>
      <w:r w:rsidR="0074757D">
        <w:t>liase</w:t>
      </w:r>
      <w:proofErr w:type="spellEnd"/>
      <w:r w:rsidR="0074757D">
        <w:t xml:space="preserve"> RAN3 to check whether the assumption made by RAN2 is feasible of not.</w:t>
      </w:r>
    </w:p>
    <w:p w14:paraId="562F9A4D" w14:textId="77777777" w:rsidR="0074757D" w:rsidRDefault="0074757D" w:rsidP="0074757D">
      <w:pPr>
        <w:pStyle w:val="Proposal"/>
      </w:pPr>
      <w:bookmarkStart w:id="7" w:name="_Toc134439850"/>
      <w:r>
        <w:t>If RACH-less HO is supported for mobile IAB, RAN2 to discuss the following approaches for the assignment of the UL grant to the UE:</w:t>
      </w:r>
      <w:bookmarkEnd w:id="7"/>
    </w:p>
    <w:p w14:paraId="0E9DBBE5" w14:textId="01F5D2E7" w:rsidR="0074757D" w:rsidRDefault="0074757D" w:rsidP="0074757D">
      <w:pPr>
        <w:pStyle w:val="Proposal"/>
        <w:numPr>
          <w:ilvl w:val="1"/>
          <w:numId w:val="2"/>
        </w:numPr>
      </w:pPr>
      <w:bookmarkStart w:id="8" w:name="_Toc134439851"/>
      <w:r>
        <w:t xml:space="preserve">The UL (configured) grant </w:t>
      </w:r>
      <w:r w:rsidR="00846E67">
        <w:t>can be part of the HO command received by the first logical DU.</w:t>
      </w:r>
      <w:bookmarkEnd w:id="8"/>
    </w:p>
    <w:p w14:paraId="532B7065" w14:textId="4E504081" w:rsidR="00846E67" w:rsidRDefault="00846E67" w:rsidP="0074757D">
      <w:pPr>
        <w:pStyle w:val="Proposal"/>
        <w:numPr>
          <w:ilvl w:val="1"/>
          <w:numId w:val="2"/>
        </w:numPr>
      </w:pPr>
      <w:bookmarkStart w:id="9" w:name="_Toc134439852"/>
      <w:r>
        <w:t>The UL (dynamic) grant can be assigned to the UE by the second logical DU after that the HO command is received by the UE.</w:t>
      </w:r>
      <w:bookmarkEnd w:id="9"/>
    </w:p>
    <w:p w14:paraId="2B1408F3" w14:textId="3C4AB69F" w:rsidR="0074757D" w:rsidRDefault="00DB7BEC" w:rsidP="00DB7BEC">
      <w:pPr>
        <w:pStyle w:val="Heading3"/>
      </w:pPr>
      <w:r>
        <w:t>2.3</w:t>
      </w:r>
      <w:r>
        <w:tab/>
      </w:r>
      <w:r w:rsidR="00A743D2">
        <w:t xml:space="preserve">Beam operation for the </w:t>
      </w:r>
      <w:r>
        <w:t>UL/DL transmission in case of RACH-less HO for mobile IAB</w:t>
      </w:r>
    </w:p>
    <w:p w14:paraId="5D4773E2" w14:textId="20A2356E" w:rsidR="0074757D" w:rsidRDefault="009D0A8E" w:rsidP="003C3FAD">
      <w:pPr>
        <w:pStyle w:val="BodyText"/>
      </w:pPr>
      <w:r>
        <w:t>One last issue that need to be investigated by RAN2 is what beam the UE uses when performing a RACH-less HO towards the second logical DUs. According to the agreement made in the last RAN2 meeting, the following options are on the table:</w:t>
      </w:r>
    </w:p>
    <w:p w14:paraId="2C13BA23" w14:textId="35259101" w:rsidR="009D0A8E" w:rsidRDefault="009D0A8E" w:rsidP="002A6254">
      <w:pPr>
        <w:pStyle w:val="BodyText"/>
        <w:numPr>
          <w:ilvl w:val="0"/>
          <w:numId w:val="15"/>
        </w:numPr>
      </w:pPr>
      <w:r>
        <w:t>(Explicit approach) Explicit beam information is included in HO command.</w:t>
      </w:r>
    </w:p>
    <w:p w14:paraId="7A82CBAC" w14:textId="0DC66DF4" w:rsidR="009D0A8E" w:rsidRDefault="009D0A8E" w:rsidP="002A6254">
      <w:pPr>
        <w:pStyle w:val="BodyText"/>
        <w:numPr>
          <w:ilvl w:val="0"/>
          <w:numId w:val="15"/>
        </w:numPr>
      </w:pPr>
      <w:r>
        <w:t>(Implicit approach) UE re-uses the same beam status as in the source cell (the beam information is not carried explicitly within the HO command).</w:t>
      </w:r>
    </w:p>
    <w:p w14:paraId="1325DA73" w14:textId="6FBA32DE" w:rsidR="009D0A8E" w:rsidRDefault="009D0A8E" w:rsidP="009D0A8E">
      <w:pPr>
        <w:pStyle w:val="BodyText"/>
      </w:pPr>
      <w:r>
        <w:lastRenderedPageBreak/>
        <w:t xml:space="preserve">For the Approach 2, the biggest assumption in this case is that both the first and second logical DU use </w:t>
      </w:r>
      <w:proofErr w:type="gramStart"/>
      <w:r>
        <w:t>exactly the same</w:t>
      </w:r>
      <w:proofErr w:type="gramEnd"/>
      <w:r>
        <w:t xml:space="preserve"> lower layer configuration.</w:t>
      </w:r>
      <w:r w:rsidR="00C71EDB">
        <w:t xml:space="preserve"> </w:t>
      </w:r>
      <w:r w:rsidR="009D2EE8">
        <w:t>However, in the RAN2#119-bis-e meeting, the following agreement was reached:</w:t>
      </w:r>
    </w:p>
    <w:p w14:paraId="0387C19B" w14:textId="77777777" w:rsidR="009D2EE8" w:rsidRPr="0089793F" w:rsidRDefault="009D2EE8" w:rsidP="009D2EE8">
      <w:pPr>
        <w:pStyle w:val="Agreement"/>
        <w:pBdr>
          <w:top w:val="single" w:sz="4" w:space="1" w:color="auto"/>
          <w:left w:val="single" w:sz="4" w:space="4" w:color="auto"/>
          <w:bottom w:val="single" w:sz="4" w:space="1" w:color="auto"/>
          <w:right w:val="single" w:sz="4" w:space="4" w:color="auto"/>
        </w:pBdr>
      </w:pPr>
      <w:r w:rsidRPr="00B028F5">
        <w:t xml:space="preserve">RAN2 focuses on the scenario where, during full migration, </w:t>
      </w:r>
      <w:r w:rsidRPr="009D2EE8">
        <w:rPr>
          <w:highlight w:val="yellow"/>
        </w:rPr>
        <w:t xml:space="preserve">the UE sees the </w:t>
      </w:r>
      <w:r w:rsidRPr="009D2EE8">
        <w:rPr>
          <w:rFonts w:cstheme="minorHAnsi"/>
          <w:highlight w:val="yellow"/>
        </w:rPr>
        <w:t>two logical DU cells as different physical cells</w:t>
      </w:r>
      <w:r>
        <w:rPr>
          <w:rFonts w:cstheme="minorHAnsi"/>
        </w:rPr>
        <w:t xml:space="preserve"> (</w:t>
      </w:r>
      <w:proofErr w:type="gramStart"/>
      <w:r>
        <w:rPr>
          <w:rFonts w:cstheme="minorHAnsi"/>
        </w:rPr>
        <w:t>e.g.</w:t>
      </w:r>
      <w:proofErr w:type="gramEnd"/>
      <w:r>
        <w:rPr>
          <w:rFonts w:cstheme="minorHAnsi"/>
        </w:rPr>
        <w:t xml:space="preserve"> </w:t>
      </w:r>
      <w:r w:rsidRPr="009D2EE8">
        <w:rPr>
          <w:rFonts w:cstheme="minorHAnsi"/>
          <w:highlight w:val="green"/>
        </w:rPr>
        <w:t>with different PCI if same carrier</w:t>
      </w:r>
      <w:r>
        <w:rPr>
          <w:rFonts w:cstheme="minorHAnsi"/>
        </w:rPr>
        <w:t xml:space="preserve">), and where </w:t>
      </w:r>
      <w:r w:rsidRPr="009D2EE8">
        <w:rPr>
          <w:rFonts w:cstheme="minorHAnsi"/>
          <w:highlight w:val="magenta"/>
        </w:rPr>
        <w:t>the two logical DU cells use separate physical resources</w:t>
      </w:r>
      <w:r w:rsidRPr="0089793F">
        <w:rPr>
          <w:rFonts w:cstheme="minorHAnsi"/>
        </w:rPr>
        <w:t xml:space="preserve"> (i.e., different carriers, or orthogonal time and frequency resources of the same carrier</w:t>
      </w:r>
      <w:r>
        <w:rPr>
          <w:rFonts w:cstheme="minorHAnsi"/>
        </w:rPr>
        <w:t>, as supported by legacy L1</w:t>
      </w:r>
      <w:r w:rsidRPr="0089793F">
        <w:rPr>
          <w:rFonts w:cstheme="minorHAnsi"/>
        </w:rPr>
        <w:t>).</w:t>
      </w:r>
    </w:p>
    <w:p w14:paraId="6C2043DB" w14:textId="77777777" w:rsidR="009D2EE8" w:rsidRDefault="009D2EE8" w:rsidP="009D0A8E">
      <w:pPr>
        <w:pStyle w:val="BodyText"/>
      </w:pPr>
    </w:p>
    <w:p w14:paraId="38084A8C" w14:textId="053576F3" w:rsidR="0074757D" w:rsidRDefault="009D2EE8" w:rsidP="003C3FAD">
      <w:pPr>
        <w:pStyle w:val="BodyText"/>
      </w:pPr>
      <w:r>
        <w:t>From the agreement, it is evident that RAN2 already made an agreement that the two logical DUs cannot use the exact same lower layer configuration. Therefore, Option 2 (implicit approach) shall be excluded from the discussion.</w:t>
      </w:r>
    </w:p>
    <w:p w14:paraId="464F31F1" w14:textId="77777777" w:rsidR="00646132" w:rsidRDefault="009D2EE8" w:rsidP="009D2EE8">
      <w:pPr>
        <w:pStyle w:val="Proposal"/>
      </w:pPr>
      <w:bookmarkStart w:id="10" w:name="_Toc134439853"/>
      <w:r>
        <w:t>Based on past agreements, RAN2 to confirm that the first and second logical UE uses two different lower layer configurations</w:t>
      </w:r>
      <w:r w:rsidR="00646132">
        <w:t>.</w:t>
      </w:r>
      <w:bookmarkEnd w:id="10"/>
    </w:p>
    <w:p w14:paraId="2DAC192D" w14:textId="52B5929B" w:rsidR="009D2EE8" w:rsidRDefault="009D2EE8" w:rsidP="009D2EE8">
      <w:pPr>
        <w:pStyle w:val="Proposal"/>
      </w:pPr>
      <w:bookmarkStart w:id="11" w:name="_Toc134439854"/>
      <w:r>
        <w:t>Option 2</w:t>
      </w:r>
      <w:r w:rsidR="00646132">
        <w:t xml:space="preserve"> (implicit approach)</w:t>
      </w:r>
      <w:r>
        <w:t xml:space="preserve"> for the beam management of RACH-less HO</w:t>
      </w:r>
      <w:r w:rsidR="00646132">
        <w:t xml:space="preserve"> for mobile IAB </w:t>
      </w:r>
      <w:r>
        <w:t>is excluded.</w:t>
      </w:r>
      <w:bookmarkEnd w:id="11"/>
    </w:p>
    <w:p w14:paraId="4C676138" w14:textId="5889FAB6" w:rsidR="0074757D" w:rsidRDefault="003E1C67" w:rsidP="003C3FAD">
      <w:pPr>
        <w:pStyle w:val="BodyText"/>
      </w:pPr>
      <w:r>
        <w:t xml:space="preserve">About Approach 1, this it may be in principle feasible, but the biggest concern here is how </w:t>
      </w:r>
      <w:r w:rsidR="007B443A">
        <w:t xml:space="preserve">eventually the second logical DU decides which beam to indicate to the UE. Usually, in legacy operation a beam is chosen either as part of the </w:t>
      </w:r>
      <w:proofErr w:type="gramStart"/>
      <w:r w:rsidR="007B443A">
        <w:t>random access</w:t>
      </w:r>
      <w:proofErr w:type="gramEnd"/>
      <w:r w:rsidR="007B443A">
        <w:t xml:space="preserve"> procedure, or because of measurements reported by the UE. For this specific case, the second logical DU will not have any of these and thus the assignment of a beam needs to happen blindly.</w:t>
      </w:r>
      <w:r w:rsidR="006B6352">
        <w:t xml:space="preserve"> The result of this is that the percentage of HO failure may increase significantly.</w:t>
      </w:r>
    </w:p>
    <w:p w14:paraId="57839DC9" w14:textId="7F8CB727" w:rsidR="007B443A" w:rsidRDefault="006B6352" w:rsidP="007B443A">
      <w:pPr>
        <w:pStyle w:val="Observation"/>
      </w:pPr>
      <w:bookmarkStart w:id="12" w:name="_Toc134439846"/>
      <w:r>
        <w:t xml:space="preserve">The second logical DU has to assign a beam blindly to the UE since measurements are absent and </w:t>
      </w:r>
      <w:proofErr w:type="gramStart"/>
      <w:r>
        <w:t>random access</w:t>
      </w:r>
      <w:proofErr w:type="gramEnd"/>
      <w:r>
        <w:t xml:space="preserve"> procedure is not performed by the UE.</w:t>
      </w:r>
      <w:bookmarkEnd w:id="12"/>
    </w:p>
    <w:p w14:paraId="3B27E6FB" w14:textId="47BCBFBA" w:rsidR="006B6352" w:rsidRDefault="006B6352" w:rsidP="007B443A">
      <w:pPr>
        <w:pStyle w:val="Observation"/>
      </w:pPr>
      <w:bookmarkStart w:id="13" w:name="_Toc134439847"/>
      <w:r>
        <w:t>If the second logical DU needs to assign blindly a beam to a UE, the percentage of HO failure may increase significantly.</w:t>
      </w:r>
      <w:bookmarkEnd w:id="13"/>
    </w:p>
    <w:p w14:paraId="0B53F18B" w14:textId="750ED2C9" w:rsidR="00CD592B" w:rsidRDefault="00CD592B" w:rsidP="00CD592B">
      <w:pPr>
        <w:pStyle w:val="BodyText"/>
      </w:pPr>
      <w:r>
        <w:t xml:space="preserve">Nevertheless, even if RAN2 assume that a blind assignment of a beam is the best solution (solution that is strongly discouraged), this </w:t>
      </w:r>
      <w:proofErr w:type="gramStart"/>
      <w:r>
        <w:t>should be anyway</w:t>
      </w:r>
      <w:r w:rsidR="006B6352">
        <w:t xml:space="preserve"> be</w:t>
      </w:r>
      <w:proofErr w:type="gramEnd"/>
      <w:r w:rsidR="006B6352">
        <w:t xml:space="preserve"> studied and </w:t>
      </w:r>
      <w:r>
        <w:t>specified also</w:t>
      </w:r>
      <w:r w:rsidR="006B6352">
        <w:t xml:space="preserve"> in RAN1</w:t>
      </w:r>
      <w:r>
        <w:t>. It is worth noticing that RAN1 does not have any TU allocated for the mobile IAB WI, and that RAN2 has limited number of TUs in the upcoming meeting to finish its work.</w:t>
      </w:r>
    </w:p>
    <w:p w14:paraId="2E662874" w14:textId="77777777" w:rsidR="00CD592B" w:rsidRDefault="00CD592B" w:rsidP="00CD592B">
      <w:pPr>
        <w:pStyle w:val="Observation"/>
      </w:pPr>
      <w:bookmarkStart w:id="14" w:name="_Toc134439848"/>
      <w:r>
        <w:t>RAN1 does not have any TU allocated for the mobile IAB WI, and that RAN2 has limited number of TUs in the upcoming meeting to work on a possible RACH-less solution for mobile IAB.</w:t>
      </w:r>
      <w:bookmarkEnd w:id="14"/>
    </w:p>
    <w:p w14:paraId="7C35A8DA" w14:textId="3CC3BFE4" w:rsidR="00CD592B" w:rsidRPr="00EF52A6" w:rsidRDefault="00EF52A6" w:rsidP="00EF52A6">
      <w:pPr>
        <w:pStyle w:val="BodyText"/>
      </w:pPr>
      <w:r>
        <w:rPr>
          <w:lang w:eastAsia="ja-JP"/>
        </w:rPr>
        <w:t xml:space="preserve">From all above discussion, </w:t>
      </w:r>
      <w:proofErr w:type="gramStart"/>
      <w:r>
        <w:rPr>
          <w:lang w:eastAsia="ja-JP"/>
        </w:rPr>
        <w:t>and also</w:t>
      </w:r>
      <w:proofErr w:type="gramEnd"/>
      <w:r>
        <w:rPr>
          <w:lang w:eastAsia="ja-JP"/>
        </w:rPr>
        <w:t xml:space="preserve"> given that RAN2 has only 0.5 TU for concluding the mobile IAB WI, the proposal would be to not support RACH-less HO for mobile IAB in Rel-18 and postpone this aspect to later releases.</w:t>
      </w:r>
    </w:p>
    <w:p w14:paraId="481271B5" w14:textId="3CE01941" w:rsidR="00605E8A" w:rsidRDefault="00FB0C71" w:rsidP="00605E8A">
      <w:pPr>
        <w:pStyle w:val="BodyText"/>
      </w:pPr>
      <w:r>
        <w:t>Therefore, we propose:</w:t>
      </w:r>
    </w:p>
    <w:p w14:paraId="0CE149B1" w14:textId="6A975825" w:rsidR="0094706A" w:rsidRDefault="00605E8A" w:rsidP="00FB0C71">
      <w:pPr>
        <w:pStyle w:val="Proposal"/>
      </w:pPr>
      <w:bookmarkStart w:id="15" w:name="_Toc118410445"/>
      <w:bookmarkStart w:id="16" w:name="_Toc134439855"/>
      <w:r>
        <w:t>In case of a group handover of the UE</w:t>
      </w:r>
      <w:r w:rsidR="004E0FAA">
        <w:t>s</w:t>
      </w:r>
      <w:r>
        <w:t xml:space="preserve"> served by the mobile IAB, RACH-less </w:t>
      </w:r>
      <w:r w:rsidR="00EF52A6">
        <w:t xml:space="preserve">for mobile IAB </w:t>
      </w:r>
      <w:r>
        <w:t xml:space="preserve">handover is </w:t>
      </w:r>
      <w:r w:rsidR="00FB0C71">
        <w:t xml:space="preserve">not </w:t>
      </w:r>
      <w:r>
        <w:t>supported.</w:t>
      </w:r>
      <w:bookmarkEnd w:id="15"/>
      <w:bookmarkEnd w:id="16"/>
    </w:p>
    <w:p w14:paraId="399D31F9" w14:textId="7103F0CD" w:rsidR="00D31AD8" w:rsidRDefault="00D31AD8" w:rsidP="00D31AD8">
      <w:pPr>
        <w:pStyle w:val="BodyText"/>
      </w:pPr>
      <w:r w:rsidRPr="00D31AD8">
        <w:t>Nevertheless</w:t>
      </w:r>
      <w:r>
        <w:t xml:space="preserve">, in case RAN2 makes the decision to instead supporting RACH-less HO for mobile IAB, RAN2 should consult RAN1 and RAN3 about the TA management, beam management, and UL grant assignment, and check the feasibility of </w:t>
      </w:r>
      <w:r w:rsidR="002A6254">
        <w:t>the assumptions made by RAN2.</w:t>
      </w:r>
    </w:p>
    <w:p w14:paraId="1E324ED6" w14:textId="7432AD14" w:rsidR="002A6254" w:rsidRPr="00587226" w:rsidRDefault="002A6254" w:rsidP="002A6254">
      <w:pPr>
        <w:pStyle w:val="Proposal"/>
      </w:pPr>
      <w:bookmarkStart w:id="17" w:name="_Toc134439856"/>
      <w:r>
        <w:t>I</w:t>
      </w:r>
      <w:r w:rsidRPr="002A6254">
        <w:t>n case RAN2 makes the decision to suppor</w:t>
      </w:r>
      <w:r>
        <w:t>t</w:t>
      </w:r>
      <w:r w:rsidRPr="002A6254">
        <w:t xml:space="preserve"> RACH-less HO for mobile IAB, RAN2 </w:t>
      </w:r>
      <w:r>
        <w:t>shall send an LS to</w:t>
      </w:r>
      <w:r w:rsidRPr="002A6254">
        <w:t xml:space="preserve"> RAN1 and RAN3 about the TA management, beam management, and UL grant assignment, and check the feasibility of the assumptions made by RAN2.</w:t>
      </w:r>
      <w:bookmarkEnd w:id="17"/>
    </w:p>
    <w:p w14:paraId="20D74898" w14:textId="6826DF48" w:rsidR="00C01F33" w:rsidRPr="00CE0424" w:rsidRDefault="003569C3"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DE0A30" w14:textId="77777777" w:rsidR="002A6254"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4439842" w:history="1">
        <w:r w:rsidR="002A6254" w:rsidRPr="00931B2A">
          <w:rPr>
            <w:rStyle w:val="Hyperlink"/>
            <w:noProof/>
          </w:rPr>
          <w:t>Observation 1</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Even if the mobile IAB changes its donor CU, a UE that is served by the mobile IAB does not really change any cell as it is still physically located within the coverage of the mobile IAB.</w:t>
        </w:r>
      </w:hyperlink>
    </w:p>
    <w:p w14:paraId="3939B25F"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43" w:history="1">
        <w:r w:rsidR="002A6254" w:rsidRPr="00931B2A">
          <w:rPr>
            <w:rStyle w:val="Hyperlink"/>
            <w:noProof/>
          </w:rPr>
          <w:t>Observation 2</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In case a mobile IAB changes its donor CU, if RACH-less handover for the UEs needs to be supported, is not clear how the UL grant is assigned.</w:t>
        </w:r>
      </w:hyperlink>
    </w:p>
    <w:p w14:paraId="757CC5AB"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44" w:history="1">
        <w:r w:rsidR="002A6254" w:rsidRPr="00931B2A">
          <w:rPr>
            <w:rStyle w:val="Hyperlink"/>
            <w:noProof/>
          </w:rPr>
          <w:t>Observation 3</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For the Approach 1 where a configured grant is assigned within the HO command, new coordination would be needed over the F1 and Xn interface, and this should be up to RAN3 to design.</w:t>
        </w:r>
      </w:hyperlink>
    </w:p>
    <w:p w14:paraId="4EB8252F"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45" w:history="1">
        <w:r w:rsidR="002A6254" w:rsidRPr="00931B2A">
          <w:rPr>
            <w:rStyle w:val="Hyperlink"/>
            <w:noProof/>
          </w:rPr>
          <w:t>Observation 4</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For the Approach 2 where a dynamic grant is assigned after an HO command is received by the UE, is not clear how the second logical DU know when the UE has switched to the second logical DU and is ready to receive/transmit. This require also a coordination over the F1 and Xn interface that is up to RAN3.</w:t>
        </w:r>
      </w:hyperlink>
    </w:p>
    <w:p w14:paraId="097763DB"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46" w:history="1">
        <w:r w:rsidR="002A6254" w:rsidRPr="00931B2A">
          <w:rPr>
            <w:rStyle w:val="Hyperlink"/>
            <w:noProof/>
          </w:rPr>
          <w:t>Observation 5</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The second logical DU has to assign a beam blindly to the UE since measurements are absent and random access procedure is not performed by the UE.</w:t>
        </w:r>
      </w:hyperlink>
    </w:p>
    <w:p w14:paraId="443E6BA0"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47" w:history="1">
        <w:r w:rsidR="002A6254" w:rsidRPr="00931B2A">
          <w:rPr>
            <w:rStyle w:val="Hyperlink"/>
            <w:noProof/>
          </w:rPr>
          <w:t>Observation 6</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If the second logical DU needs to assign blindly a beam to a UE, the percentage of HO failure may increase significantly.</w:t>
        </w:r>
      </w:hyperlink>
    </w:p>
    <w:p w14:paraId="29B3B344"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48" w:history="1">
        <w:r w:rsidR="002A6254" w:rsidRPr="00931B2A">
          <w:rPr>
            <w:rStyle w:val="Hyperlink"/>
            <w:noProof/>
          </w:rPr>
          <w:t>Observation 7</w:t>
        </w:r>
        <w:r w:rsidR="002A6254">
          <w:rPr>
            <w:rFonts w:asciiTheme="minorHAnsi" w:eastAsiaTheme="minorEastAsia" w:hAnsiTheme="minorHAnsi" w:cstheme="minorBidi"/>
            <w:b w:val="0"/>
            <w:noProof/>
            <w:sz w:val="24"/>
            <w:szCs w:val="24"/>
            <w:lang w:val="en-FI" w:eastAsia="en-GB"/>
          </w:rPr>
          <w:tab/>
        </w:r>
        <w:r w:rsidR="002A6254" w:rsidRPr="00931B2A">
          <w:rPr>
            <w:rStyle w:val="Hyperlink"/>
            <w:noProof/>
          </w:rPr>
          <w:t>RAN1 does not have any TU allocated for the mobile IAB WI, and that RAN2 has limited number of TUs in the upcoming meeting to work on a possible RACH-less solution for mobile IAB.</w:t>
        </w:r>
      </w:hyperlink>
    </w:p>
    <w:p w14:paraId="029CA090" w14:textId="6DF0FEE2"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312D5D" w14:textId="77777777" w:rsidR="002A6254"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439849" w:history="1">
        <w:r w:rsidR="002A6254" w:rsidRPr="00E83A3A">
          <w:rPr>
            <w:rStyle w:val="Hyperlink"/>
            <w:noProof/>
          </w:rPr>
          <w:t>Proposal 1</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If RACH-less HO is supported for mobile IAB, RAN2 to assume that RACH-less HO with same TA (and security key change) is the only supported scenario.</w:t>
        </w:r>
      </w:hyperlink>
    </w:p>
    <w:p w14:paraId="5AA61DAD"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50" w:history="1">
        <w:r w:rsidR="002A6254" w:rsidRPr="00E83A3A">
          <w:rPr>
            <w:rStyle w:val="Hyperlink"/>
            <w:noProof/>
          </w:rPr>
          <w:t>Proposal 2</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If RACH-less HO is supported for mobile IAB, RAN2 to discuss the following approaches for the assignment of the UL grant to the UE:</w:t>
        </w:r>
      </w:hyperlink>
    </w:p>
    <w:p w14:paraId="31CD6E55" w14:textId="77777777" w:rsidR="002A6254" w:rsidRDefault="00000000" w:rsidP="002A625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439851" w:history="1">
        <w:r w:rsidR="002A6254" w:rsidRPr="00E83A3A">
          <w:rPr>
            <w:rStyle w:val="Hyperlink"/>
            <w:noProof/>
          </w:rPr>
          <w:t>a.</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The UL (configured) grant can be part of the HO command received by the first logical DU.</w:t>
        </w:r>
      </w:hyperlink>
    </w:p>
    <w:p w14:paraId="310E8FB7" w14:textId="77777777" w:rsidR="002A6254" w:rsidRDefault="00000000" w:rsidP="002A6254">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439852" w:history="1">
        <w:r w:rsidR="002A6254" w:rsidRPr="00E83A3A">
          <w:rPr>
            <w:rStyle w:val="Hyperlink"/>
            <w:noProof/>
          </w:rPr>
          <w:t>b.</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The UL (dynamic) grant can be assigned to the UE by the second logical DU after that the HO command is received by the UE.</w:t>
        </w:r>
      </w:hyperlink>
    </w:p>
    <w:p w14:paraId="16AC3B58"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53" w:history="1">
        <w:r w:rsidR="002A6254" w:rsidRPr="00E83A3A">
          <w:rPr>
            <w:rStyle w:val="Hyperlink"/>
            <w:noProof/>
          </w:rPr>
          <w:t>Proposal 3</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Based on past agreements, RAN2 to confirm that the first and second logical UE uses two different lower layer configurations.</w:t>
        </w:r>
      </w:hyperlink>
    </w:p>
    <w:p w14:paraId="686D6CF8"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54" w:history="1">
        <w:r w:rsidR="002A6254" w:rsidRPr="00E83A3A">
          <w:rPr>
            <w:rStyle w:val="Hyperlink"/>
            <w:noProof/>
          </w:rPr>
          <w:t>Proposal 4</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Option 2 (implicit approach) for the beam management of RACH-less HO for mobile IAB is excluded.</w:t>
        </w:r>
      </w:hyperlink>
    </w:p>
    <w:p w14:paraId="48FA434E"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55" w:history="1">
        <w:r w:rsidR="002A6254" w:rsidRPr="00E83A3A">
          <w:rPr>
            <w:rStyle w:val="Hyperlink"/>
            <w:noProof/>
          </w:rPr>
          <w:t>Proposal 5</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In case of a group handover of the UEs served by the mobile IAB, RACH-less for mobile IAB handover is not supported.</w:t>
        </w:r>
      </w:hyperlink>
    </w:p>
    <w:p w14:paraId="43F4DFAD" w14:textId="77777777" w:rsidR="002A6254"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439856" w:history="1">
        <w:r w:rsidR="002A6254" w:rsidRPr="00E83A3A">
          <w:rPr>
            <w:rStyle w:val="Hyperlink"/>
            <w:noProof/>
          </w:rPr>
          <w:t>Proposal 6</w:t>
        </w:r>
        <w:r w:rsidR="002A6254">
          <w:rPr>
            <w:rFonts w:asciiTheme="minorHAnsi" w:eastAsiaTheme="minorEastAsia" w:hAnsiTheme="minorHAnsi" w:cstheme="minorBidi"/>
            <w:b w:val="0"/>
            <w:noProof/>
            <w:sz w:val="24"/>
            <w:szCs w:val="24"/>
            <w:lang w:val="en-FI" w:eastAsia="en-GB"/>
          </w:rPr>
          <w:tab/>
        </w:r>
        <w:r w:rsidR="002A6254" w:rsidRPr="00E83A3A">
          <w:rPr>
            <w:rStyle w:val="Hyperlink"/>
            <w:noProof/>
          </w:rPr>
          <w:t>In case RAN2 makes the decision to support RACH-less HO for mobile IAB, RAN2 shall send an LS to RAN1 and RAN3 about the TA management, beam management, and UL grant assignment, and check the feasibility of the assumptions made by RAN2.</w:t>
        </w:r>
      </w:hyperlink>
    </w:p>
    <w:p w14:paraId="64F3E645" w14:textId="2435CF9C"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18" w:name="_In-sequence_SDU_delivery"/>
      <w:bookmarkEnd w:id="18"/>
      <w:r>
        <w:t>4</w:t>
      </w:r>
      <w:r>
        <w:tab/>
      </w:r>
      <w:r w:rsidR="00F507D1" w:rsidRPr="00CE0424">
        <w:t>References</w:t>
      </w:r>
    </w:p>
    <w:bookmarkStart w:id="19" w:name="_Ref174151459"/>
    <w:bookmarkStart w:id="20"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19"/>
    <w:bookmarkEnd w:id="20"/>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2A6A" w14:textId="77777777" w:rsidR="00AF1B6E" w:rsidRDefault="00AF1B6E">
      <w:r>
        <w:separator/>
      </w:r>
    </w:p>
  </w:endnote>
  <w:endnote w:type="continuationSeparator" w:id="0">
    <w:p w14:paraId="36345F85" w14:textId="77777777" w:rsidR="00AF1B6E" w:rsidRDefault="00AF1B6E">
      <w:r>
        <w:continuationSeparator/>
      </w:r>
    </w:p>
  </w:endnote>
  <w:endnote w:type="continuationNotice" w:id="1">
    <w:p w14:paraId="6DB391CA" w14:textId="77777777" w:rsidR="00AF1B6E" w:rsidRDefault="00AF1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6CFC" w14:textId="77777777" w:rsidR="00AF1B6E" w:rsidRDefault="00AF1B6E">
      <w:r>
        <w:separator/>
      </w:r>
    </w:p>
  </w:footnote>
  <w:footnote w:type="continuationSeparator" w:id="0">
    <w:p w14:paraId="658A619F" w14:textId="77777777" w:rsidR="00AF1B6E" w:rsidRDefault="00AF1B6E">
      <w:r>
        <w:continuationSeparator/>
      </w:r>
    </w:p>
  </w:footnote>
  <w:footnote w:type="continuationNotice" w:id="1">
    <w:p w14:paraId="2F7E388B" w14:textId="77777777" w:rsidR="00AF1B6E" w:rsidRDefault="00AF1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FCA2498"/>
    <w:multiLevelType w:val="hybridMultilevel"/>
    <w:tmpl w:val="28D61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2070E330"/>
    <w:lvl w:ilvl="0" w:tplc="69043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CCE3DDB"/>
    <w:multiLevelType w:val="hybridMultilevel"/>
    <w:tmpl w:val="81B0DB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6344015">
    <w:abstractNumId w:val="7"/>
  </w:num>
  <w:num w:numId="2" w16cid:durableId="1794013560">
    <w:abstractNumId w:val="6"/>
  </w:num>
  <w:num w:numId="3" w16cid:durableId="1811940105">
    <w:abstractNumId w:val="0"/>
  </w:num>
  <w:num w:numId="4" w16cid:durableId="1070075486">
    <w:abstractNumId w:val="8"/>
  </w:num>
  <w:num w:numId="5" w16cid:durableId="1941832911">
    <w:abstractNumId w:val="9"/>
  </w:num>
  <w:num w:numId="6" w16cid:durableId="237447196">
    <w:abstractNumId w:val="10"/>
  </w:num>
  <w:num w:numId="7" w16cid:durableId="25568216">
    <w:abstractNumId w:val="2"/>
  </w:num>
  <w:num w:numId="8" w16cid:durableId="1343701733">
    <w:abstractNumId w:val="3"/>
  </w:num>
  <w:num w:numId="9" w16cid:durableId="1500071779">
    <w:abstractNumId w:val="1"/>
  </w:num>
  <w:num w:numId="10" w16cid:durableId="987856435">
    <w:abstractNumId w:val="13"/>
  </w:num>
  <w:num w:numId="11" w16cid:durableId="1937130557">
    <w:abstractNumId w:val="5"/>
  </w:num>
  <w:num w:numId="12" w16cid:durableId="1068920194">
    <w:abstractNumId w:val="11"/>
  </w:num>
  <w:num w:numId="13" w16cid:durableId="1073284136">
    <w:abstractNumId w:val="12"/>
  </w:num>
  <w:num w:numId="14" w16cid:durableId="1079137185">
    <w:abstractNumId w:val="14"/>
  </w:num>
  <w:num w:numId="15" w16cid:durableId="10098715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1A"/>
    <w:rsid w:val="00002A37"/>
    <w:rsid w:val="0000564C"/>
    <w:rsid w:val="00006446"/>
    <w:rsid w:val="00006896"/>
    <w:rsid w:val="00007CDC"/>
    <w:rsid w:val="00011B28"/>
    <w:rsid w:val="00011C51"/>
    <w:rsid w:val="00015D15"/>
    <w:rsid w:val="000207AB"/>
    <w:rsid w:val="00022E94"/>
    <w:rsid w:val="000254D1"/>
    <w:rsid w:val="0002564D"/>
    <w:rsid w:val="00025ECA"/>
    <w:rsid w:val="000325B8"/>
    <w:rsid w:val="00034B57"/>
    <w:rsid w:val="00034C15"/>
    <w:rsid w:val="00036BA1"/>
    <w:rsid w:val="000422E2"/>
    <w:rsid w:val="00042F22"/>
    <w:rsid w:val="000444EF"/>
    <w:rsid w:val="00045004"/>
    <w:rsid w:val="00046AB9"/>
    <w:rsid w:val="000477AD"/>
    <w:rsid w:val="0005018F"/>
    <w:rsid w:val="00052A07"/>
    <w:rsid w:val="000534E3"/>
    <w:rsid w:val="0005606A"/>
    <w:rsid w:val="00057117"/>
    <w:rsid w:val="000616E7"/>
    <w:rsid w:val="0006487E"/>
    <w:rsid w:val="00065E1A"/>
    <w:rsid w:val="0006631A"/>
    <w:rsid w:val="00075502"/>
    <w:rsid w:val="00077E5F"/>
    <w:rsid w:val="0008036A"/>
    <w:rsid w:val="00081AE6"/>
    <w:rsid w:val="000855EB"/>
    <w:rsid w:val="00085B52"/>
    <w:rsid w:val="000866F2"/>
    <w:rsid w:val="00087A55"/>
    <w:rsid w:val="0009009F"/>
    <w:rsid w:val="00091557"/>
    <w:rsid w:val="000924C1"/>
    <w:rsid w:val="000924F0"/>
    <w:rsid w:val="0009253E"/>
    <w:rsid w:val="00093474"/>
    <w:rsid w:val="0009510F"/>
    <w:rsid w:val="0009630A"/>
    <w:rsid w:val="00097579"/>
    <w:rsid w:val="000A1B7B"/>
    <w:rsid w:val="000A1D04"/>
    <w:rsid w:val="000A210A"/>
    <w:rsid w:val="000A22EF"/>
    <w:rsid w:val="000A3DC1"/>
    <w:rsid w:val="000A44C0"/>
    <w:rsid w:val="000A56F2"/>
    <w:rsid w:val="000B2719"/>
    <w:rsid w:val="000B3A8F"/>
    <w:rsid w:val="000B3E10"/>
    <w:rsid w:val="000B4AB9"/>
    <w:rsid w:val="000B58C3"/>
    <w:rsid w:val="000B61E9"/>
    <w:rsid w:val="000C165A"/>
    <w:rsid w:val="000C2E19"/>
    <w:rsid w:val="000D0D07"/>
    <w:rsid w:val="000D2E6A"/>
    <w:rsid w:val="000D4797"/>
    <w:rsid w:val="000D6EFB"/>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3EB"/>
    <w:rsid w:val="001344C0"/>
    <w:rsid w:val="001346FA"/>
    <w:rsid w:val="00135252"/>
    <w:rsid w:val="00137AB5"/>
    <w:rsid w:val="00137F0B"/>
    <w:rsid w:val="00145668"/>
    <w:rsid w:val="00151E23"/>
    <w:rsid w:val="001526E0"/>
    <w:rsid w:val="00153590"/>
    <w:rsid w:val="00155177"/>
    <w:rsid w:val="001551B5"/>
    <w:rsid w:val="00160637"/>
    <w:rsid w:val="001659C1"/>
    <w:rsid w:val="0017102C"/>
    <w:rsid w:val="00173A8E"/>
    <w:rsid w:val="0017502C"/>
    <w:rsid w:val="00176BE8"/>
    <w:rsid w:val="0018143F"/>
    <w:rsid w:val="00181FF8"/>
    <w:rsid w:val="001849E3"/>
    <w:rsid w:val="001867C3"/>
    <w:rsid w:val="00187DFA"/>
    <w:rsid w:val="00190AC1"/>
    <w:rsid w:val="001920BD"/>
    <w:rsid w:val="0019341A"/>
    <w:rsid w:val="00195B60"/>
    <w:rsid w:val="00197DF9"/>
    <w:rsid w:val="001A1987"/>
    <w:rsid w:val="001A2564"/>
    <w:rsid w:val="001A5DD2"/>
    <w:rsid w:val="001A6173"/>
    <w:rsid w:val="001A621C"/>
    <w:rsid w:val="001A6CBA"/>
    <w:rsid w:val="001B0D97"/>
    <w:rsid w:val="001B374F"/>
    <w:rsid w:val="001B5A5D"/>
    <w:rsid w:val="001C1BAB"/>
    <w:rsid w:val="001C1CE5"/>
    <w:rsid w:val="001C3D2A"/>
    <w:rsid w:val="001C66D5"/>
    <w:rsid w:val="001D0E3C"/>
    <w:rsid w:val="001D0E90"/>
    <w:rsid w:val="001D316D"/>
    <w:rsid w:val="001D3937"/>
    <w:rsid w:val="001D51BA"/>
    <w:rsid w:val="001D53E7"/>
    <w:rsid w:val="001D6342"/>
    <w:rsid w:val="001D6D53"/>
    <w:rsid w:val="001E58E2"/>
    <w:rsid w:val="001E7AED"/>
    <w:rsid w:val="001F3916"/>
    <w:rsid w:val="001F54C5"/>
    <w:rsid w:val="001F5BEA"/>
    <w:rsid w:val="001F6568"/>
    <w:rsid w:val="001F662C"/>
    <w:rsid w:val="001F7074"/>
    <w:rsid w:val="00200490"/>
    <w:rsid w:val="00201F3A"/>
    <w:rsid w:val="002034B2"/>
    <w:rsid w:val="00203680"/>
    <w:rsid w:val="00203F96"/>
    <w:rsid w:val="002041E9"/>
    <w:rsid w:val="002069B2"/>
    <w:rsid w:val="00207A5C"/>
    <w:rsid w:val="00207FA3"/>
    <w:rsid w:val="0021338F"/>
    <w:rsid w:val="00213DCC"/>
    <w:rsid w:val="00214DA8"/>
    <w:rsid w:val="00215423"/>
    <w:rsid w:val="002158FA"/>
    <w:rsid w:val="00220600"/>
    <w:rsid w:val="00221196"/>
    <w:rsid w:val="002224DB"/>
    <w:rsid w:val="002226E6"/>
    <w:rsid w:val="00223E74"/>
    <w:rsid w:val="00223FCB"/>
    <w:rsid w:val="002252C3"/>
    <w:rsid w:val="00225C54"/>
    <w:rsid w:val="00227BB6"/>
    <w:rsid w:val="00230765"/>
    <w:rsid w:val="00230D18"/>
    <w:rsid w:val="002319E4"/>
    <w:rsid w:val="0023256A"/>
    <w:rsid w:val="00235632"/>
    <w:rsid w:val="00235872"/>
    <w:rsid w:val="0023604A"/>
    <w:rsid w:val="00241559"/>
    <w:rsid w:val="00242830"/>
    <w:rsid w:val="002435B3"/>
    <w:rsid w:val="002458EB"/>
    <w:rsid w:val="00245E54"/>
    <w:rsid w:val="00247466"/>
    <w:rsid w:val="002500C8"/>
    <w:rsid w:val="00257543"/>
    <w:rsid w:val="00260112"/>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2F55"/>
    <w:rsid w:val="00286ACD"/>
    <w:rsid w:val="00287838"/>
    <w:rsid w:val="002907B5"/>
    <w:rsid w:val="00292EB7"/>
    <w:rsid w:val="002935CC"/>
    <w:rsid w:val="002939FD"/>
    <w:rsid w:val="00296227"/>
    <w:rsid w:val="00296F44"/>
    <w:rsid w:val="002972E5"/>
    <w:rsid w:val="0029777D"/>
    <w:rsid w:val="002A055E"/>
    <w:rsid w:val="002A1D4E"/>
    <w:rsid w:val="002A2869"/>
    <w:rsid w:val="002A6254"/>
    <w:rsid w:val="002B24D6"/>
    <w:rsid w:val="002C3C14"/>
    <w:rsid w:val="002C41E6"/>
    <w:rsid w:val="002C6266"/>
    <w:rsid w:val="002C7FB4"/>
    <w:rsid w:val="002D071A"/>
    <w:rsid w:val="002D34B2"/>
    <w:rsid w:val="002D35D1"/>
    <w:rsid w:val="002D36D8"/>
    <w:rsid w:val="002D48B0"/>
    <w:rsid w:val="002D49D7"/>
    <w:rsid w:val="002D5B37"/>
    <w:rsid w:val="002D6539"/>
    <w:rsid w:val="002D7637"/>
    <w:rsid w:val="002D79E8"/>
    <w:rsid w:val="002E14B5"/>
    <w:rsid w:val="002E14CA"/>
    <w:rsid w:val="002E17F2"/>
    <w:rsid w:val="002E3427"/>
    <w:rsid w:val="002E4AAE"/>
    <w:rsid w:val="002E5AA5"/>
    <w:rsid w:val="002E7CAE"/>
    <w:rsid w:val="002F1B74"/>
    <w:rsid w:val="002F2771"/>
    <w:rsid w:val="002F37A9"/>
    <w:rsid w:val="002F5B0D"/>
    <w:rsid w:val="00301CE6"/>
    <w:rsid w:val="0030227E"/>
    <w:rsid w:val="0030256B"/>
    <w:rsid w:val="0030501F"/>
    <w:rsid w:val="00307BA1"/>
    <w:rsid w:val="00311702"/>
    <w:rsid w:val="00311E82"/>
    <w:rsid w:val="00313FD6"/>
    <w:rsid w:val="003143BD"/>
    <w:rsid w:val="00315363"/>
    <w:rsid w:val="00315654"/>
    <w:rsid w:val="003203ED"/>
    <w:rsid w:val="003209C3"/>
    <w:rsid w:val="00322C9F"/>
    <w:rsid w:val="0032453A"/>
    <w:rsid w:val="00324A56"/>
    <w:rsid w:val="00324D23"/>
    <w:rsid w:val="00325EDA"/>
    <w:rsid w:val="003304FF"/>
    <w:rsid w:val="00331751"/>
    <w:rsid w:val="00334579"/>
    <w:rsid w:val="00335858"/>
    <w:rsid w:val="00336BDA"/>
    <w:rsid w:val="00337F4E"/>
    <w:rsid w:val="0034185C"/>
    <w:rsid w:val="00342BD7"/>
    <w:rsid w:val="00346DB5"/>
    <w:rsid w:val="00346DED"/>
    <w:rsid w:val="003477B1"/>
    <w:rsid w:val="00351360"/>
    <w:rsid w:val="00351374"/>
    <w:rsid w:val="003569C3"/>
    <w:rsid w:val="00357380"/>
    <w:rsid w:val="003602D9"/>
    <w:rsid w:val="003604CE"/>
    <w:rsid w:val="00361FC4"/>
    <w:rsid w:val="00362622"/>
    <w:rsid w:val="00365180"/>
    <w:rsid w:val="00365C67"/>
    <w:rsid w:val="003660D1"/>
    <w:rsid w:val="00370E47"/>
    <w:rsid w:val="003742AC"/>
    <w:rsid w:val="00377CE1"/>
    <w:rsid w:val="00381355"/>
    <w:rsid w:val="00385BF0"/>
    <w:rsid w:val="003939FF"/>
    <w:rsid w:val="00397CB9"/>
    <w:rsid w:val="003A2223"/>
    <w:rsid w:val="003A2A0F"/>
    <w:rsid w:val="003A45A1"/>
    <w:rsid w:val="003A5B0A"/>
    <w:rsid w:val="003A6BAC"/>
    <w:rsid w:val="003A70A4"/>
    <w:rsid w:val="003A7EF3"/>
    <w:rsid w:val="003B159C"/>
    <w:rsid w:val="003B369F"/>
    <w:rsid w:val="003B36A3"/>
    <w:rsid w:val="003B4B16"/>
    <w:rsid w:val="003B64BB"/>
    <w:rsid w:val="003B7FE5"/>
    <w:rsid w:val="003C11C8"/>
    <w:rsid w:val="003C2702"/>
    <w:rsid w:val="003C3FAD"/>
    <w:rsid w:val="003C55F5"/>
    <w:rsid w:val="003C7806"/>
    <w:rsid w:val="003D109F"/>
    <w:rsid w:val="003D2478"/>
    <w:rsid w:val="003D3C45"/>
    <w:rsid w:val="003D3FF8"/>
    <w:rsid w:val="003D5B1F"/>
    <w:rsid w:val="003D5CE4"/>
    <w:rsid w:val="003D5F40"/>
    <w:rsid w:val="003E15FA"/>
    <w:rsid w:val="003E1C67"/>
    <w:rsid w:val="003E22C9"/>
    <w:rsid w:val="003E3EBC"/>
    <w:rsid w:val="003E55E4"/>
    <w:rsid w:val="003E74E3"/>
    <w:rsid w:val="003F059F"/>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14F6E"/>
    <w:rsid w:val="00415A59"/>
    <w:rsid w:val="00416BBA"/>
    <w:rsid w:val="00421105"/>
    <w:rsid w:val="004223C4"/>
    <w:rsid w:val="00422AA4"/>
    <w:rsid w:val="00422CFA"/>
    <w:rsid w:val="004242F4"/>
    <w:rsid w:val="004260BE"/>
    <w:rsid w:val="00427248"/>
    <w:rsid w:val="0043039F"/>
    <w:rsid w:val="00431B84"/>
    <w:rsid w:val="004356C4"/>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66C32"/>
    <w:rsid w:val="00470C31"/>
    <w:rsid w:val="00471DE0"/>
    <w:rsid w:val="00471ECA"/>
    <w:rsid w:val="004734D0"/>
    <w:rsid w:val="00473687"/>
    <w:rsid w:val="00474F8E"/>
    <w:rsid w:val="0047556B"/>
    <w:rsid w:val="00477768"/>
    <w:rsid w:val="004913F7"/>
    <w:rsid w:val="004920D2"/>
    <w:rsid w:val="00492BC5"/>
    <w:rsid w:val="004952B5"/>
    <w:rsid w:val="004964F1"/>
    <w:rsid w:val="004A16BC"/>
    <w:rsid w:val="004A2696"/>
    <w:rsid w:val="004A2B94"/>
    <w:rsid w:val="004A3BC9"/>
    <w:rsid w:val="004B0D7C"/>
    <w:rsid w:val="004B6F6A"/>
    <w:rsid w:val="004B7C0C"/>
    <w:rsid w:val="004C3898"/>
    <w:rsid w:val="004C43C9"/>
    <w:rsid w:val="004C7414"/>
    <w:rsid w:val="004D27E5"/>
    <w:rsid w:val="004D36B1"/>
    <w:rsid w:val="004D7C87"/>
    <w:rsid w:val="004D7EBD"/>
    <w:rsid w:val="004E0FAA"/>
    <w:rsid w:val="004E2680"/>
    <w:rsid w:val="004E28F9"/>
    <w:rsid w:val="004E3361"/>
    <w:rsid w:val="004E462E"/>
    <w:rsid w:val="004E5062"/>
    <w:rsid w:val="004E56DC"/>
    <w:rsid w:val="004E76F4"/>
    <w:rsid w:val="004F0B4E"/>
    <w:rsid w:val="004F0B6C"/>
    <w:rsid w:val="004F2078"/>
    <w:rsid w:val="004F4DA3"/>
    <w:rsid w:val="004F71AE"/>
    <w:rsid w:val="00502DB0"/>
    <w:rsid w:val="00506557"/>
    <w:rsid w:val="0050677A"/>
    <w:rsid w:val="005108D8"/>
    <w:rsid w:val="005116F9"/>
    <w:rsid w:val="005153A7"/>
    <w:rsid w:val="005172A0"/>
    <w:rsid w:val="005219CF"/>
    <w:rsid w:val="00531B15"/>
    <w:rsid w:val="00532E49"/>
    <w:rsid w:val="005339F3"/>
    <w:rsid w:val="00534B59"/>
    <w:rsid w:val="00535988"/>
    <w:rsid w:val="00535A4D"/>
    <w:rsid w:val="00535B2F"/>
    <w:rsid w:val="00536759"/>
    <w:rsid w:val="00537C62"/>
    <w:rsid w:val="005449C3"/>
    <w:rsid w:val="00546970"/>
    <w:rsid w:val="005532E2"/>
    <w:rsid w:val="00554E19"/>
    <w:rsid w:val="005554FB"/>
    <w:rsid w:val="0056121F"/>
    <w:rsid w:val="00564FFF"/>
    <w:rsid w:val="00570C92"/>
    <w:rsid w:val="00572505"/>
    <w:rsid w:val="005732F3"/>
    <w:rsid w:val="00580A45"/>
    <w:rsid w:val="00582809"/>
    <w:rsid w:val="00587226"/>
    <w:rsid w:val="0058798C"/>
    <w:rsid w:val="005900FA"/>
    <w:rsid w:val="00591369"/>
    <w:rsid w:val="005914E8"/>
    <w:rsid w:val="005935A4"/>
    <w:rsid w:val="005939B9"/>
    <w:rsid w:val="00594168"/>
    <w:rsid w:val="005948C2"/>
    <w:rsid w:val="00595268"/>
    <w:rsid w:val="00595DCA"/>
    <w:rsid w:val="0059779B"/>
    <w:rsid w:val="005A209A"/>
    <w:rsid w:val="005A2EEC"/>
    <w:rsid w:val="005A3507"/>
    <w:rsid w:val="005A4FDD"/>
    <w:rsid w:val="005A55B9"/>
    <w:rsid w:val="005A662D"/>
    <w:rsid w:val="005A7FCA"/>
    <w:rsid w:val="005B02B9"/>
    <w:rsid w:val="005B1409"/>
    <w:rsid w:val="005B35D7"/>
    <w:rsid w:val="005B392A"/>
    <w:rsid w:val="005B3AA3"/>
    <w:rsid w:val="005B4E2C"/>
    <w:rsid w:val="005B6F83"/>
    <w:rsid w:val="005B7B4F"/>
    <w:rsid w:val="005C3428"/>
    <w:rsid w:val="005C63A4"/>
    <w:rsid w:val="005C6706"/>
    <w:rsid w:val="005C74FB"/>
    <w:rsid w:val="005D1602"/>
    <w:rsid w:val="005D272C"/>
    <w:rsid w:val="005D63E1"/>
    <w:rsid w:val="005E3335"/>
    <w:rsid w:val="005E385F"/>
    <w:rsid w:val="005E5B81"/>
    <w:rsid w:val="005F247E"/>
    <w:rsid w:val="005F2CB1"/>
    <w:rsid w:val="005F3025"/>
    <w:rsid w:val="005F43B0"/>
    <w:rsid w:val="005F618C"/>
    <w:rsid w:val="005F70BD"/>
    <w:rsid w:val="0060283C"/>
    <w:rsid w:val="00603A4B"/>
    <w:rsid w:val="00604300"/>
    <w:rsid w:val="00604F14"/>
    <w:rsid w:val="00605E8A"/>
    <w:rsid w:val="00611B83"/>
    <w:rsid w:val="00613257"/>
    <w:rsid w:val="00614A96"/>
    <w:rsid w:val="00615AA0"/>
    <w:rsid w:val="00620A71"/>
    <w:rsid w:val="00620D80"/>
    <w:rsid w:val="00621E78"/>
    <w:rsid w:val="006234A6"/>
    <w:rsid w:val="00630001"/>
    <w:rsid w:val="006311B3"/>
    <w:rsid w:val="0063284C"/>
    <w:rsid w:val="00634640"/>
    <w:rsid w:val="00636398"/>
    <w:rsid w:val="006368D3"/>
    <w:rsid w:val="00636C60"/>
    <w:rsid w:val="006377EC"/>
    <w:rsid w:val="0064151F"/>
    <w:rsid w:val="00641533"/>
    <w:rsid w:val="0064156E"/>
    <w:rsid w:val="0064180B"/>
    <w:rsid w:val="0064208D"/>
    <w:rsid w:val="00642EB2"/>
    <w:rsid w:val="00643475"/>
    <w:rsid w:val="0064396A"/>
    <w:rsid w:val="0064531E"/>
    <w:rsid w:val="00645BBD"/>
    <w:rsid w:val="00646132"/>
    <w:rsid w:val="0064624E"/>
    <w:rsid w:val="0064769D"/>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172E"/>
    <w:rsid w:val="00671EA9"/>
    <w:rsid w:val="0067218F"/>
    <w:rsid w:val="006741F2"/>
    <w:rsid w:val="00674CC3"/>
    <w:rsid w:val="00675065"/>
    <w:rsid w:val="00675C72"/>
    <w:rsid w:val="00676D1B"/>
    <w:rsid w:val="006771F9"/>
    <w:rsid w:val="006776D7"/>
    <w:rsid w:val="00681003"/>
    <w:rsid w:val="006817C9"/>
    <w:rsid w:val="00683ECE"/>
    <w:rsid w:val="00690354"/>
    <w:rsid w:val="00691A4B"/>
    <w:rsid w:val="00691BBA"/>
    <w:rsid w:val="00693731"/>
    <w:rsid w:val="006951FD"/>
    <w:rsid w:val="00695FC2"/>
    <w:rsid w:val="00696949"/>
    <w:rsid w:val="00697052"/>
    <w:rsid w:val="006A46FB"/>
    <w:rsid w:val="006A5E28"/>
    <w:rsid w:val="006A697B"/>
    <w:rsid w:val="006A7AFF"/>
    <w:rsid w:val="006B1206"/>
    <w:rsid w:val="006B1816"/>
    <w:rsid w:val="006B2099"/>
    <w:rsid w:val="006B50CF"/>
    <w:rsid w:val="006B6352"/>
    <w:rsid w:val="006B799E"/>
    <w:rsid w:val="006C03B8"/>
    <w:rsid w:val="006C08CE"/>
    <w:rsid w:val="006C5EC9"/>
    <w:rsid w:val="006C6059"/>
    <w:rsid w:val="006C7522"/>
    <w:rsid w:val="006C7CD0"/>
    <w:rsid w:val="006D3E61"/>
    <w:rsid w:val="006D40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1CEC"/>
    <w:rsid w:val="00712287"/>
    <w:rsid w:val="00712772"/>
    <w:rsid w:val="007128E9"/>
    <w:rsid w:val="007148D3"/>
    <w:rsid w:val="00715B9A"/>
    <w:rsid w:val="00721A71"/>
    <w:rsid w:val="007257D0"/>
    <w:rsid w:val="007266BE"/>
    <w:rsid w:val="00726EA6"/>
    <w:rsid w:val="00727208"/>
    <w:rsid w:val="00727680"/>
    <w:rsid w:val="00727FA3"/>
    <w:rsid w:val="007326B5"/>
    <w:rsid w:val="0073337F"/>
    <w:rsid w:val="007348B1"/>
    <w:rsid w:val="007362A6"/>
    <w:rsid w:val="00736D7D"/>
    <w:rsid w:val="00740466"/>
    <w:rsid w:val="00740BEA"/>
    <w:rsid w:val="00740E58"/>
    <w:rsid w:val="007445A0"/>
    <w:rsid w:val="0074524B"/>
    <w:rsid w:val="0074757D"/>
    <w:rsid w:val="00747D8B"/>
    <w:rsid w:val="00751228"/>
    <w:rsid w:val="007571E1"/>
    <w:rsid w:val="00757A16"/>
    <w:rsid w:val="007604B2"/>
    <w:rsid w:val="00762329"/>
    <w:rsid w:val="00763DA3"/>
    <w:rsid w:val="00765281"/>
    <w:rsid w:val="00765A05"/>
    <w:rsid w:val="00765E38"/>
    <w:rsid w:val="00766BAD"/>
    <w:rsid w:val="00770C48"/>
    <w:rsid w:val="007729A2"/>
    <w:rsid w:val="007755F2"/>
    <w:rsid w:val="00776971"/>
    <w:rsid w:val="00780A80"/>
    <w:rsid w:val="0078177E"/>
    <w:rsid w:val="0078304C"/>
    <w:rsid w:val="0078346E"/>
    <w:rsid w:val="00783673"/>
    <w:rsid w:val="00785490"/>
    <w:rsid w:val="007918C1"/>
    <w:rsid w:val="007925EA"/>
    <w:rsid w:val="00793444"/>
    <w:rsid w:val="00793CD8"/>
    <w:rsid w:val="007944FD"/>
    <w:rsid w:val="00795058"/>
    <w:rsid w:val="00795C92"/>
    <w:rsid w:val="00796231"/>
    <w:rsid w:val="007A1255"/>
    <w:rsid w:val="007A1CB3"/>
    <w:rsid w:val="007A2C37"/>
    <w:rsid w:val="007A306F"/>
    <w:rsid w:val="007A3F12"/>
    <w:rsid w:val="007A43A6"/>
    <w:rsid w:val="007A44D8"/>
    <w:rsid w:val="007A58A6"/>
    <w:rsid w:val="007B3D2D"/>
    <w:rsid w:val="007B443A"/>
    <w:rsid w:val="007B50AE"/>
    <w:rsid w:val="007B51DF"/>
    <w:rsid w:val="007B7744"/>
    <w:rsid w:val="007C05DD"/>
    <w:rsid w:val="007C0A8E"/>
    <w:rsid w:val="007C3C80"/>
    <w:rsid w:val="007C3D18"/>
    <w:rsid w:val="007C60BF"/>
    <w:rsid w:val="007C6A07"/>
    <w:rsid w:val="007C75A1"/>
    <w:rsid w:val="007C77A5"/>
    <w:rsid w:val="007D04E5"/>
    <w:rsid w:val="007D5901"/>
    <w:rsid w:val="007D7526"/>
    <w:rsid w:val="007E11CC"/>
    <w:rsid w:val="007E4610"/>
    <w:rsid w:val="007E4715"/>
    <w:rsid w:val="007E505B"/>
    <w:rsid w:val="007E7091"/>
    <w:rsid w:val="007F0331"/>
    <w:rsid w:val="007F14D3"/>
    <w:rsid w:val="007F25FA"/>
    <w:rsid w:val="007F4E4C"/>
    <w:rsid w:val="00803FAE"/>
    <w:rsid w:val="0080605F"/>
    <w:rsid w:val="008063E8"/>
    <w:rsid w:val="00806C85"/>
    <w:rsid w:val="00807786"/>
    <w:rsid w:val="00811C66"/>
    <w:rsid w:val="00811FCB"/>
    <w:rsid w:val="00813127"/>
    <w:rsid w:val="008158D6"/>
    <w:rsid w:val="00817196"/>
    <w:rsid w:val="008201BE"/>
    <w:rsid w:val="008201DE"/>
    <w:rsid w:val="00821D94"/>
    <w:rsid w:val="008235DB"/>
    <w:rsid w:val="00824AB4"/>
    <w:rsid w:val="00825C42"/>
    <w:rsid w:val="00825D25"/>
    <w:rsid w:val="00827D6F"/>
    <w:rsid w:val="00830BF3"/>
    <w:rsid w:val="00832986"/>
    <w:rsid w:val="008376AC"/>
    <w:rsid w:val="00841A04"/>
    <w:rsid w:val="008444E8"/>
    <w:rsid w:val="00844E80"/>
    <w:rsid w:val="00845EAB"/>
    <w:rsid w:val="00846E67"/>
    <w:rsid w:val="00846FE7"/>
    <w:rsid w:val="008474E5"/>
    <w:rsid w:val="00847C07"/>
    <w:rsid w:val="00856911"/>
    <w:rsid w:val="00863A30"/>
    <w:rsid w:val="008677FD"/>
    <w:rsid w:val="008706D4"/>
    <w:rsid w:val="00870F8A"/>
    <w:rsid w:val="00871917"/>
    <w:rsid w:val="008719A4"/>
    <w:rsid w:val="00871D23"/>
    <w:rsid w:val="00874312"/>
    <w:rsid w:val="0087437C"/>
    <w:rsid w:val="00875CD7"/>
    <w:rsid w:val="008765B1"/>
    <w:rsid w:val="00876B4D"/>
    <w:rsid w:val="00877E73"/>
    <w:rsid w:val="00877F18"/>
    <w:rsid w:val="00880683"/>
    <w:rsid w:val="008854D8"/>
    <w:rsid w:val="00886A7A"/>
    <w:rsid w:val="008917A2"/>
    <w:rsid w:val="008941E3"/>
    <w:rsid w:val="00894A88"/>
    <w:rsid w:val="00894D77"/>
    <w:rsid w:val="008952BA"/>
    <w:rsid w:val="00895386"/>
    <w:rsid w:val="008A21FF"/>
    <w:rsid w:val="008A2CE2"/>
    <w:rsid w:val="008A30AC"/>
    <w:rsid w:val="008A44B8"/>
    <w:rsid w:val="008A4F3E"/>
    <w:rsid w:val="008A51A8"/>
    <w:rsid w:val="008A54C7"/>
    <w:rsid w:val="008A77D8"/>
    <w:rsid w:val="008B0483"/>
    <w:rsid w:val="008B120C"/>
    <w:rsid w:val="008B387D"/>
    <w:rsid w:val="008B51A0"/>
    <w:rsid w:val="008B592A"/>
    <w:rsid w:val="008B7053"/>
    <w:rsid w:val="008B7B5C"/>
    <w:rsid w:val="008C0C99"/>
    <w:rsid w:val="008C2017"/>
    <w:rsid w:val="008C4039"/>
    <w:rsid w:val="008C4958"/>
    <w:rsid w:val="008C4BAA"/>
    <w:rsid w:val="008C52D4"/>
    <w:rsid w:val="008C6AE8"/>
    <w:rsid w:val="008C7573"/>
    <w:rsid w:val="008D00A5"/>
    <w:rsid w:val="008D34F1"/>
    <w:rsid w:val="008D39D8"/>
    <w:rsid w:val="008D6D1A"/>
    <w:rsid w:val="008E065E"/>
    <w:rsid w:val="008E0927"/>
    <w:rsid w:val="008E1909"/>
    <w:rsid w:val="008E6199"/>
    <w:rsid w:val="008F0C23"/>
    <w:rsid w:val="008F1EAB"/>
    <w:rsid w:val="008F23A8"/>
    <w:rsid w:val="008F2EC6"/>
    <w:rsid w:val="008F33DC"/>
    <w:rsid w:val="008F477F"/>
    <w:rsid w:val="008F6A29"/>
    <w:rsid w:val="009000BB"/>
    <w:rsid w:val="00900B76"/>
    <w:rsid w:val="00902350"/>
    <w:rsid w:val="00903054"/>
    <w:rsid w:val="0090336B"/>
    <w:rsid w:val="009053AA"/>
    <w:rsid w:val="00906939"/>
    <w:rsid w:val="00910B7D"/>
    <w:rsid w:val="00911DFB"/>
    <w:rsid w:val="009139D9"/>
    <w:rsid w:val="00914AD8"/>
    <w:rsid w:val="00916079"/>
    <w:rsid w:val="00917CE9"/>
    <w:rsid w:val="00920BF2"/>
    <w:rsid w:val="00922010"/>
    <w:rsid w:val="009229F1"/>
    <w:rsid w:val="0092353E"/>
    <w:rsid w:val="009243FA"/>
    <w:rsid w:val="009263A6"/>
    <w:rsid w:val="00931BD9"/>
    <w:rsid w:val="00933403"/>
    <w:rsid w:val="00933532"/>
    <w:rsid w:val="00933F1A"/>
    <w:rsid w:val="009368F3"/>
    <w:rsid w:val="00937B32"/>
    <w:rsid w:val="00940A56"/>
    <w:rsid w:val="00940EF5"/>
    <w:rsid w:val="00941636"/>
    <w:rsid w:val="00943742"/>
    <w:rsid w:val="00945C05"/>
    <w:rsid w:val="00946945"/>
    <w:rsid w:val="0094706A"/>
    <w:rsid w:val="00947713"/>
    <w:rsid w:val="00950DE7"/>
    <w:rsid w:val="00953920"/>
    <w:rsid w:val="00953D47"/>
    <w:rsid w:val="0095681E"/>
    <w:rsid w:val="009572D4"/>
    <w:rsid w:val="009575E9"/>
    <w:rsid w:val="009615CA"/>
    <w:rsid w:val="00961921"/>
    <w:rsid w:val="009642F4"/>
    <w:rsid w:val="0096430A"/>
    <w:rsid w:val="0096554B"/>
    <w:rsid w:val="0096584A"/>
    <w:rsid w:val="0096728C"/>
    <w:rsid w:val="0097014A"/>
    <w:rsid w:val="0097177F"/>
    <w:rsid w:val="00971F08"/>
    <w:rsid w:val="0097603D"/>
    <w:rsid w:val="00976949"/>
    <w:rsid w:val="00980477"/>
    <w:rsid w:val="00981396"/>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2719"/>
    <w:rsid w:val="009B3AC2"/>
    <w:rsid w:val="009B4DF4"/>
    <w:rsid w:val="009B564E"/>
    <w:rsid w:val="009B7E87"/>
    <w:rsid w:val="009C0169"/>
    <w:rsid w:val="009C3680"/>
    <w:rsid w:val="009C403E"/>
    <w:rsid w:val="009D0160"/>
    <w:rsid w:val="009D0A8E"/>
    <w:rsid w:val="009D1E23"/>
    <w:rsid w:val="009D2EE8"/>
    <w:rsid w:val="009D4FF0"/>
    <w:rsid w:val="009D624E"/>
    <w:rsid w:val="009D703C"/>
    <w:rsid w:val="009D718F"/>
    <w:rsid w:val="009D7A87"/>
    <w:rsid w:val="009D7D68"/>
    <w:rsid w:val="009E068F"/>
    <w:rsid w:val="009E14E0"/>
    <w:rsid w:val="009E35DB"/>
    <w:rsid w:val="009E47A3"/>
    <w:rsid w:val="009F04B6"/>
    <w:rsid w:val="009F08F3"/>
    <w:rsid w:val="009F344F"/>
    <w:rsid w:val="00A02BE8"/>
    <w:rsid w:val="00A031D8"/>
    <w:rsid w:val="00A048A8"/>
    <w:rsid w:val="00A04F49"/>
    <w:rsid w:val="00A07E44"/>
    <w:rsid w:val="00A13E54"/>
    <w:rsid w:val="00A16816"/>
    <w:rsid w:val="00A17F63"/>
    <w:rsid w:val="00A2193B"/>
    <w:rsid w:val="00A224D3"/>
    <w:rsid w:val="00A2351A"/>
    <w:rsid w:val="00A25E49"/>
    <w:rsid w:val="00A264A9"/>
    <w:rsid w:val="00A26DCF"/>
    <w:rsid w:val="00A2771A"/>
    <w:rsid w:val="00A27785"/>
    <w:rsid w:val="00A30187"/>
    <w:rsid w:val="00A3448A"/>
    <w:rsid w:val="00A36297"/>
    <w:rsid w:val="00A41E2B"/>
    <w:rsid w:val="00A45B74"/>
    <w:rsid w:val="00A47E90"/>
    <w:rsid w:val="00A52E1D"/>
    <w:rsid w:val="00A5768B"/>
    <w:rsid w:val="00A61499"/>
    <w:rsid w:val="00A62A77"/>
    <w:rsid w:val="00A62ADB"/>
    <w:rsid w:val="00A63483"/>
    <w:rsid w:val="00A657D7"/>
    <w:rsid w:val="00A6583A"/>
    <w:rsid w:val="00A658DC"/>
    <w:rsid w:val="00A660AC"/>
    <w:rsid w:val="00A66557"/>
    <w:rsid w:val="00A67E53"/>
    <w:rsid w:val="00A67E6C"/>
    <w:rsid w:val="00A67E77"/>
    <w:rsid w:val="00A717E3"/>
    <w:rsid w:val="00A71B99"/>
    <w:rsid w:val="00A739D0"/>
    <w:rsid w:val="00A743D2"/>
    <w:rsid w:val="00A761D4"/>
    <w:rsid w:val="00A77EC4"/>
    <w:rsid w:val="00A801B6"/>
    <w:rsid w:val="00A8422A"/>
    <w:rsid w:val="00A861DD"/>
    <w:rsid w:val="00A92879"/>
    <w:rsid w:val="00A9442A"/>
    <w:rsid w:val="00AA016F"/>
    <w:rsid w:val="00AA1ED6"/>
    <w:rsid w:val="00AA51D6"/>
    <w:rsid w:val="00AB07A7"/>
    <w:rsid w:val="00AB0BC8"/>
    <w:rsid w:val="00AB11CA"/>
    <w:rsid w:val="00AB14D9"/>
    <w:rsid w:val="00AB454D"/>
    <w:rsid w:val="00AB4AB8"/>
    <w:rsid w:val="00AB655E"/>
    <w:rsid w:val="00AB7938"/>
    <w:rsid w:val="00AC007F"/>
    <w:rsid w:val="00AC2ECD"/>
    <w:rsid w:val="00AC2FEE"/>
    <w:rsid w:val="00AC3119"/>
    <w:rsid w:val="00AC49FB"/>
    <w:rsid w:val="00AC5A10"/>
    <w:rsid w:val="00AC5C95"/>
    <w:rsid w:val="00AD02A0"/>
    <w:rsid w:val="00AD0AA3"/>
    <w:rsid w:val="00AD3A77"/>
    <w:rsid w:val="00AD3F94"/>
    <w:rsid w:val="00AD4A5A"/>
    <w:rsid w:val="00AE27AC"/>
    <w:rsid w:val="00AE40E0"/>
    <w:rsid w:val="00AE4DBA"/>
    <w:rsid w:val="00AE4F07"/>
    <w:rsid w:val="00AF1B6E"/>
    <w:rsid w:val="00AF1C5D"/>
    <w:rsid w:val="00AF42D7"/>
    <w:rsid w:val="00AF5CEE"/>
    <w:rsid w:val="00B006FE"/>
    <w:rsid w:val="00B007CB"/>
    <w:rsid w:val="00B02AA9"/>
    <w:rsid w:val="00B02FA3"/>
    <w:rsid w:val="00B05084"/>
    <w:rsid w:val="00B06A07"/>
    <w:rsid w:val="00B06C87"/>
    <w:rsid w:val="00B157F9"/>
    <w:rsid w:val="00B20092"/>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108E"/>
    <w:rsid w:val="00B53215"/>
    <w:rsid w:val="00B53E16"/>
    <w:rsid w:val="00B548B7"/>
    <w:rsid w:val="00B55538"/>
    <w:rsid w:val="00B664C7"/>
    <w:rsid w:val="00B66B82"/>
    <w:rsid w:val="00B739F6"/>
    <w:rsid w:val="00B74563"/>
    <w:rsid w:val="00B815A5"/>
    <w:rsid w:val="00B81A6C"/>
    <w:rsid w:val="00B85DE5"/>
    <w:rsid w:val="00B90F73"/>
    <w:rsid w:val="00B93B59"/>
    <w:rsid w:val="00B94008"/>
    <w:rsid w:val="00B9406A"/>
    <w:rsid w:val="00B96A6F"/>
    <w:rsid w:val="00BA2280"/>
    <w:rsid w:val="00BA2A08"/>
    <w:rsid w:val="00BA2D2E"/>
    <w:rsid w:val="00BA426C"/>
    <w:rsid w:val="00BA493B"/>
    <w:rsid w:val="00BA56D2"/>
    <w:rsid w:val="00BA76E0"/>
    <w:rsid w:val="00BB2A25"/>
    <w:rsid w:val="00BB51E9"/>
    <w:rsid w:val="00BB669A"/>
    <w:rsid w:val="00BC0FDC"/>
    <w:rsid w:val="00BC3053"/>
    <w:rsid w:val="00BC4D2E"/>
    <w:rsid w:val="00BD4038"/>
    <w:rsid w:val="00BD48AC"/>
    <w:rsid w:val="00BD5F1A"/>
    <w:rsid w:val="00BD653C"/>
    <w:rsid w:val="00BE1234"/>
    <w:rsid w:val="00BE173D"/>
    <w:rsid w:val="00BE2FA6"/>
    <w:rsid w:val="00BE333F"/>
    <w:rsid w:val="00BE39FF"/>
    <w:rsid w:val="00BE5546"/>
    <w:rsid w:val="00BE7406"/>
    <w:rsid w:val="00BE7603"/>
    <w:rsid w:val="00BE7E38"/>
    <w:rsid w:val="00BF1497"/>
    <w:rsid w:val="00BF3279"/>
    <w:rsid w:val="00BF74C7"/>
    <w:rsid w:val="00C015F1"/>
    <w:rsid w:val="00C01F33"/>
    <w:rsid w:val="00C02CC6"/>
    <w:rsid w:val="00C040F7"/>
    <w:rsid w:val="00C044AB"/>
    <w:rsid w:val="00C05706"/>
    <w:rsid w:val="00C07074"/>
    <w:rsid w:val="00C07377"/>
    <w:rsid w:val="00C10478"/>
    <w:rsid w:val="00C12107"/>
    <w:rsid w:val="00C14D4B"/>
    <w:rsid w:val="00C154BB"/>
    <w:rsid w:val="00C2194E"/>
    <w:rsid w:val="00C268E6"/>
    <w:rsid w:val="00C279B5"/>
    <w:rsid w:val="00C27C45"/>
    <w:rsid w:val="00C3208F"/>
    <w:rsid w:val="00C33707"/>
    <w:rsid w:val="00C35328"/>
    <w:rsid w:val="00C3719D"/>
    <w:rsid w:val="00C37CB2"/>
    <w:rsid w:val="00C42F0E"/>
    <w:rsid w:val="00C44D19"/>
    <w:rsid w:val="00C4693C"/>
    <w:rsid w:val="00C473A5"/>
    <w:rsid w:val="00C534B2"/>
    <w:rsid w:val="00C54365"/>
    <w:rsid w:val="00C54995"/>
    <w:rsid w:val="00C54D41"/>
    <w:rsid w:val="00C60783"/>
    <w:rsid w:val="00C64672"/>
    <w:rsid w:val="00C64B60"/>
    <w:rsid w:val="00C66317"/>
    <w:rsid w:val="00C70697"/>
    <w:rsid w:val="00C712E3"/>
    <w:rsid w:val="00C71EDB"/>
    <w:rsid w:val="00C72093"/>
    <w:rsid w:val="00C72EF4"/>
    <w:rsid w:val="00C73A0D"/>
    <w:rsid w:val="00C744FE"/>
    <w:rsid w:val="00C75D2F"/>
    <w:rsid w:val="00C75FEC"/>
    <w:rsid w:val="00C76127"/>
    <w:rsid w:val="00C767BE"/>
    <w:rsid w:val="00C76E3C"/>
    <w:rsid w:val="00C7772B"/>
    <w:rsid w:val="00C77867"/>
    <w:rsid w:val="00C80E08"/>
    <w:rsid w:val="00C80E81"/>
    <w:rsid w:val="00C81568"/>
    <w:rsid w:val="00C815FC"/>
    <w:rsid w:val="00C8176F"/>
    <w:rsid w:val="00C81D61"/>
    <w:rsid w:val="00C9027A"/>
    <w:rsid w:val="00C9068E"/>
    <w:rsid w:val="00C911D9"/>
    <w:rsid w:val="00C93814"/>
    <w:rsid w:val="00C93C4B"/>
    <w:rsid w:val="00C944AB"/>
    <w:rsid w:val="00C95B40"/>
    <w:rsid w:val="00C968B0"/>
    <w:rsid w:val="00C97FF5"/>
    <w:rsid w:val="00CA07A7"/>
    <w:rsid w:val="00CA1ED8"/>
    <w:rsid w:val="00CB1F63"/>
    <w:rsid w:val="00CB4EFA"/>
    <w:rsid w:val="00CB6562"/>
    <w:rsid w:val="00CB69D1"/>
    <w:rsid w:val="00CB6AAE"/>
    <w:rsid w:val="00CB7170"/>
    <w:rsid w:val="00CC040E"/>
    <w:rsid w:val="00CC111F"/>
    <w:rsid w:val="00CC2011"/>
    <w:rsid w:val="00CC3EA0"/>
    <w:rsid w:val="00CC7B45"/>
    <w:rsid w:val="00CD1188"/>
    <w:rsid w:val="00CD2ED1"/>
    <w:rsid w:val="00CD337B"/>
    <w:rsid w:val="00CD592B"/>
    <w:rsid w:val="00CD5F40"/>
    <w:rsid w:val="00CD6AE5"/>
    <w:rsid w:val="00CE0232"/>
    <w:rsid w:val="00CE0424"/>
    <w:rsid w:val="00CE20D7"/>
    <w:rsid w:val="00CE6A49"/>
    <w:rsid w:val="00CE73AF"/>
    <w:rsid w:val="00CE7561"/>
    <w:rsid w:val="00CF1354"/>
    <w:rsid w:val="00CF3B1F"/>
    <w:rsid w:val="00CF3BF6"/>
    <w:rsid w:val="00CF625B"/>
    <w:rsid w:val="00CF687E"/>
    <w:rsid w:val="00CF7D1D"/>
    <w:rsid w:val="00D0349B"/>
    <w:rsid w:val="00D0382D"/>
    <w:rsid w:val="00D03C05"/>
    <w:rsid w:val="00D05B07"/>
    <w:rsid w:val="00D07AEF"/>
    <w:rsid w:val="00D10249"/>
    <w:rsid w:val="00D115C3"/>
    <w:rsid w:val="00D11897"/>
    <w:rsid w:val="00D13135"/>
    <w:rsid w:val="00D13E4E"/>
    <w:rsid w:val="00D14928"/>
    <w:rsid w:val="00D162B4"/>
    <w:rsid w:val="00D201C1"/>
    <w:rsid w:val="00D22D09"/>
    <w:rsid w:val="00D239A7"/>
    <w:rsid w:val="00D23F47"/>
    <w:rsid w:val="00D3148A"/>
    <w:rsid w:val="00D31AD8"/>
    <w:rsid w:val="00D31F9C"/>
    <w:rsid w:val="00D36E71"/>
    <w:rsid w:val="00D37D87"/>
    <w:rsid w:val="00D40B33"/>
    <w:rsid w:val="00D42072"/>
    <w:rsid w:val="00D4318F"/>
    <w:rsid w:val="00D438BF"/>
    <w:rsid w:val="00D440F8"/>
    <w:rsid w:val="00D47116"/>
    <w:rsid w:val="00D501CC"/>
    <w:rsid w:val="00D546FF"/>
    <w:rsid w:val="00D558D9"/>
    <w:rsid w:val="00D55AD5"/>
    <w:rsid w:val="00D576CA"/>
    <w:rsid w:val="00D60E2D"/>
    <w:rsid w:val="00D61AF5"/>
    <w:rsid w:val="00D64821"/>
    <w:rsid w:val="00D652B5"/>
    <w:rsid w:val="00D66155"/>
    <w:rsid w:val="00D669D3"/>
    <w:rsid w:val="00D708B0"/>
    <w:rsid w:val="00D726AE"/>
    <w:rsid w:val="00D77777"/>
    <w:rsid w:val="00D77B1D"/>
    <w:rsid w:val="00D8021F"/>
    <w:rsid w:val="00D80383"/>
    <w:rsid w:val="00D80FE0"/>
    <w:rsid w:val="00D8101C"/>
    <w:rsid w:val="00D823C6"/>
    <w:rsid w:val="00D8308B"/>
    <w:rsid w:val="00D8327F"/>
    <w:rsid w:val="00D85F1B"/>
    <w:rsid w:val="00D86CA3"/>
    <w:rsid w:val="00D871CE"/>
    <w:rsid w:val="00D9196D"/>
    <w:rsid w:val="00D92982"/>
    <w:rsid w:val="00D93948"/>
    <w:rsid w:val="00DA305E"/>
    <w:rsid w:val="00DA5417"/>
    <w:rsid w:val="00DA56E8"/>
    <w:rsid w:val="00DB0A9F"/>
    <w:rsid w:val="00DB0E0A"/>
    <w:rsid w:val="00DB2CA3"/>
    <w:rsid w:val="00DB377D"/>
    <w:rsid w:val="00DB7BEC"/>
    <w:rsid w:val="00DC2D36"/>
    <w:rsid w:val="00DC53EF"/>
    <w:rsid w:val="00DE1448"/>
    <w:rsid w:val="00DE5608"/>
    <w:rsid w:val="00DE58D0"/>
    <w:rsid w:val="00DE654F"/>
    <w:rsid w:val="00DE6988"/>
    <w:rsid w:val="00DF0B64"/>
    <w:rsid w:val="00DF0B6E"/>
    <w:rsid w:val="00DF15E0"/>
    <w:rsid w:val="00DF37A0"/>
    <w:rsid w:val="00DF4D12"/>
    <w:rsid w:val="00DF66E1"/>
    <w:rsid w:val="00DF690B"/>
    <w:rsid w:val="00E01074"/>
    <w:rsid w:val="00E110E7"/>
    <w:rsid w:val="00E11B20"/>
    <w:rsid w:val="00E14202"/>
    <w:rsid w:val="00E17FA2"/>
    <w:rsid w:val="00E22330"/>
    <w:rsid w:val="00E22C7E"/>
    <w:rsid w:val="00E23A3E"/>
    <w:rsid w:val="00E23B5A"/>
    <w:rsid w:val="00E25948"/>
    <w:rsid w:val="00E30B5A"/>
    <w:rsid w:val="00E30BCD"/>
    <w:rsid w:val="00E3123D"/>
    <w:rsid w:val="00E31461"/>
    <w:rsid w:val="00E31D43"/>
    <w:rsid w:val="00E32608"/>
    <w:rsid w:val="00E34188"/>
    <w:rsid w:val="00E34B6E"/>
    <w:rsid w:val="00E35559"/>
    <w:rsid w:val="00E3723A"/>
    <w:rsid w:val="00E37860"/>
    <w:rsid w:val="00E43897"/>
    <w:rsid w:val="00E446F1"/>
    <w:rsid w:val="00E46886"/>
    <w:rsid w:val="00E47AEF"/>
    <w:rsid w:val="00E5281B"/>
    <w:rsid w:val="00E53373"/>
    <w:rsid w:val="00E53B75"/>
    <w:rsid w:val="00E5475B"/>
    <w:rsid w:val="00E54E3B"/>
    <w:rsid w:val="00E57565"/>
    <w:rsid w:val="00E63344"/>
    <w:rsid w:val="00E63838"/>
    <w:rsid w:val="00E64434"/>
    <w:rsid w:val="00E66380"/>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667"/>
    <w:rsid w:val="00E93FFE"/>
    <w:rsid w:val="00E94F8A"/>
    <w:rsid w:val="00E96956"/>
    <w:rsid w:val="00EA0ADB"/>
    <w:rsid w:val="00EA19F4"/>
    <w:rsid w:val="00EA1C1C"/>
    <w:rsid w:val="00EA76F5"/>
    <w:rsid w:val="00EA7A41"/>
    <w:rsid w:val="00EB077B"/>
    <w:rsid w:val="00EB37C6"/>
    <w:rsid w:val="00EB4EA2"/>
    <w:rsid w:val="00EC24D5"/>
    <w:rsid w:val="00EC27C6"/>
    <w:rsid w:val="00EC4207"/>
    <w:rsid w:val="00EC5389"/>
    <w:rsid w:val="00EC5653"/>
    <w:rsid w:val="00EC71CE"/>
    <w:rsid w:val="00ED1006"/>
    <w:rsid w:val="00ED4FA0"/>
    <w:rsid w:val="00EE424A"/>
    <w:rsid w:val="00EE4D69"/>
    <w:rsid w:val="00EF18FE"/>
    <w:rsid w:val="00EF52A6"/>
    <w:rsid w:val="00EF5787"/>
    <w:rsid w:val="00EF59F1"/>
    <w:rsid w:val="00EF60D0"/>
    <w:rsid w:val="00F0528D"/>
    <w:rsid w:val="00F06C67"/>
    <w:rsid w:val="00F06DFD"/>
    <w:rsid w:val="00F06E68"/>
    <w:rsid w:val="00F071D1"/>
    <w:rsid w:val="00F07533"/>
    <w:rsid w:val="00F10629"/>
    <w:rsid w:val="00F1156D"/>
    <w:rsid w:val="00F130D3"/>
    <w:rsid w:val="00F13418"/>
    <w:rsid w:val="00F15B76"/>
    <w:rsid w:val="00F15C28"/>
    <w:rsid w:val="00F15FA5"/>
    <w:rsid w:val="00F209B7"/>
    <w:rsid w:val="00F20F5C"/>
    <w:rsid w:val="00F2376F"/>
    <w:rsid w:val="00F243D8"/>
    <w:rsid w:val="00F24405"/>
    <w:rsid w:val="00F30828"/>
    <w:rsid w:val="00F313D6"/>
    <w:rsid w:val="00F317A7"/>
    <w:rsid w:val="00F3581C"/>
    <w:rsid w:val="00F3650D"/>
    <w:rsid w:val="00F40F0C"/>
    <w:rsid w:val="00F4535D"/>
    <w:rsid w:val="00F4644E"/>
    <w:rsid w:val="00F47005"/>
    <w:rsid w:val="00F4766C"/>
    <w:rsid w:val="00F47CD4"/>
    <w:rsid w:val="00F5060E"/>
    <w:rsid w:val="00F507D1"/>
    <w:rsid w:val="00F519CE"/>
    <w:rsid w:val="00F51ADA"/>
    <w:rsid w:val="00F51CA7"/>
    <w:rsid w:val="00F60203"/>
    <w:rsid w:val="00F607C5"/>
    <w:rsid w:val="00F60DEA"/>
    <w:rsid w:val="00F61373"/>
    <w:rsid w:val="00F628EE"/>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1A4"/>
    <w:rsid w:val="00F96985"/>
    <w:rsid w:val="00F97838"/>
    <w:rsid w:val="00FA2BB3"/>
    <w:rsid w:val="00FA48CB"/>
    <w:rsid w:val="00FB00D2"/>
    <w:rsid w:val="00FB00DD"/>
    <w:rsid w:val="00FB0C71"/>
    <w:rsid w:val="00FB3CFE"/>
    <w:rsid w:val="00FB4C80"/>
    <w:rsid w:val="00FB6A6A"/>
    <w:rsid w:val="00FC6294"/>
    <w:rsid w:val="00FC7429"/>
    <w:rsid w:val="00FC78B4"/>
    <w:rsid w:val="00FD07F6"/>
    <w:rsid w:val="00FD14D6"/>
    <w:rsid w:val="00FD1EC8"/>
    <w:rsid w:val="00FD47ED"/>
    <w:rsid w:val="00FD74DB"/>
    <w:rsid w:val="00FD7660"/>
    <w:rsid w:val="00FE0655"/>
    <w:rsid w:val="00FE2365"/>
    <w:rsid w:val="00FE319F"/>
    <w:rsid w:val="00FE37D7"/>
    <w:rsid w:val="00FE4C7B"/>
    <w:rsid w:val="00FE7336"/>
    <w:rsid w:val="00FE787C"/>
    <w:rsid w:val="00FF0F50"/>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B3B3836-80A7-4EA3-94A1-13553B8C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Agreement">
    <w:name w:val="Agreement"/>
    <w:basedOn w:val="Normal"/>
    <w:next w:val="Doc-text2"/>
    <w:uiPriority w:val="99"/>
    <w:qFormat/>
    <w:rsid w:val="00F3650D"/>
    <w:pPr>
      <w:numPr>
        <w:numId w:val="13"/>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831EADF-CBF8-44BD-8D3E-4A40A590D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210</TotalTime>
  <Pages>4</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12827</CharactersWithSpaces>
  <SharedDoc>false</SharedDoc>
  <HLinks>
    <vt:vector size="72" baseType="variant">
      <vt:variant>
        <vt:i4>1507431</vt:i4>
      </vt:variant>
      <vt:variant>
        <vt:i4>39</vt:i4>
      </vt:variant>
      <vt:variant>
        <vt:i4>0</vt:i4>
      </vt:variant>
      <vt:variant>
        <vt:i4>5</vt:i4>
      </vt:variant>
      <vt:variant>
        <vt:lpwstr>http://www.3gpp.org/ftp//tsg_ran/TSG_RAN/TSGR_96/Docs/RP-221815.zip</vt:lpwstr>
      </vt:variant>
      <vt:variant>
        <vt:lpwstr/>
      </vt:variant>
      <vt:variant>
        <vt:i4>1179710</vt:i4>
      </vt:variant>
      <vt:variant>
        <vt:i4>35</vt:i4>
      </vt:variant>
      <vt:variant>
        <vt:i4>0</vt:i4>
      </vt:variant>
      <vt:variant>
        <vt:i4>5</vt:i4>
      </vt:variant>
      <vt:variant>
        <vt:lpwstr/>
      </vt:variant>
      <vt:variant>
        <vt:lpwstr>_Toc131062841</vt:lpwstr>
      </vt:variant>
      <vt:variant>
        <vt:i4>1179710</vt:i4>
      </vt:variant>
      <vt:variant>
        <vt:i4>32</vt:i4>
      </vt:variant>
      <vt:variant>
        <vt:i4>0</vt:i4>
      </vt:variant>
      <vt:variant>
        <vt:i4>5</vt:i4>
      </vt:variant>
      <vt:variant>
        <vt:lpwstr/>
      </vt:variant>
      <vt:variant>
        <vt:lpwstr>_Toc131062840</vt:lpwstr>
      </vt:variant>
      <vt:variant>
        <vt:i4>1376318</vt:i4>
      </vt:variant>
      <vt:variant>
        <vt:i4>29</vt:i4>
      </vt:variant>
      <vt:variant>
        <vt:i4>0</vt:i4>
      </vt:variant>
      <vt:variant>
        <vt:i4>5</vt:i4>
      </vt:variant>
      <vt:variant>
        <vt:lpwstr/>
      </vt:variant>
      <vt:variant>
        <vt:lpwstr>_Toc131062839</vt:lpwstr>
      </vt:variant>
      <vt:variant>
        <vt:i4>1376318</vt:i4>
      </vt:variant>
      <vt:variant>
        <vt:i4>26</vt:i4>
      </vt:variant>
      <vt:variant>
        <vt:i4>0</vt:i4>
      </vt:variant>
      <vt:variant>
        <vt:i4>5</vt:i4>
      </vt:variant>
      <vt:variant>
        <vt:lpwstr/>
      </vt:variant>
      <vt:variant>
        <vt:lpwstr>_Toc131062838</vt:lpwstr>
      </vt:variant>
      <vt:variant>
        <vt:i4>1376318</vt:i4>
      </vt:variant>
      <vt:variant>
        <vt:i4>23</vt:i4>
      </vt:variant>
      <vt:variant>
        <vt:i4>0</vt:i4>
      </vt:variant>
      <vt:variant>
        <vt:i4>5</vt:i4>
      </vt:variant>
      <vt:variant>
        <vt:lpwstr/>
      </vt:variant>
      <vt:variant>
        <vt:lpwstr>_Toc131062837</vt:lpwstr>
      </vt:variant>
      <vt:variant>
        <vt:i4>1376318</vt:i4>
      </vt:variant>
      <vt:variant>
        <vt:i4>20</vt:i4>
      </vt:variant>
      <vt:variant>
        <vt:i4>0</vt:i4>
      </vt:variant>
      <vt:variant>
        <vt:i4>5</vt:i4>
      </vt:variant>
      <vt:variant>
        <vt:lpwstr/>
      </vt:variant>
      <vt:variant>
        <vt:lpwstr>_Toc131062836</vt:lpwstr>
      </vt:variant>
      <vt:variant>
        <vt:i4>1376318</vt:i4>
      </vt:variant>
      <vt:variant>
        <vt:i4>17</vt:i4>
      </vt:variant>
      <vt:variant>
        <vt:i4>0</vt:i4>
      </vt:variant>
      <vt:variant>
        <vt:i4>5</vt:i4>
      </vt:variant>
      <vt:variant>
        <vt:lpwstr/>
      </vt:variant>
      <vt:variant>
        <vt:lpwstr>_Toc131062835</vt:lpwstr>
      </vt:variant>
      <vt:variant>
        <vt:i4>1179710</vt:i4>
      </vt:variant>
      <vt:variant>
        <vt:i4>11</vt:i4>
      </vt:variant>
      <vt:variant>
        <vt:i4>0</vt:i4>
      </vt:variant>
      <vt:variant>
        <vt:i4>5</vt:i4>
      </vt:variant>
      <vt:variant>
        <vt:lpwstr/>
      </vt:variant>
      <vt:variant>
        <vt:lpwstr>_Toc131062845</vt:lpwstr>
      </vt:variant>
      <vt:variant>
        <vt:i4>1179710</vt:i4>
      </vt:variant>
      <vt:variant>
        <vt:i4>8</vt:i4>
      </vt:variant>
      <vt:variant>
        <vt:i4>0</vt:i4>
      </vt:variant>
      <vt:variant>
        <vt:i4>5</vt:i4>
      </vt:variant>
      <vt:variant>
        <vt:lpwstr/>
      </vt:variant>
      <vt:variant>
        <vt:lpwstr>_Toc131062844</vt:lpwstr>
      </vt:variant>
      <vt:variant>
        <vt:i4>1179710</vt:i4>
      </vt:variant>
      <vt:variant>
        <vt:i4>5</vt:i4>
      </vt:variant>
      <vt:variant>
        <vt:i4>0</vt:i4>
      </vt:variant>
      <vt:variant>
        <vt:i4>5</vt:i4>
      </vt:variant>
      <vt:variant>
        <vt:lpwstr/>
      </vt:variant>
      <vt:variant>
        <vt:lpwstr>_Toc131062843</vt:lpwstr>
      </vt:variant>
      <vt:variant>
        <vt:i4>1179710</vt:i4>
      </vt:variant>
      <vt:variant>
        <vt:i4>2</vt:i4>
      </vt:variant>
      <vt:variant>
        <vt:i4>0</vt:i4>
      </vt:variant>
      <vt:variant>
        <vt:i4>5</vt:i4>
      </vt:variant>
      <vt:variant>
        <vt:lpwstr/>
      </vt:variant>
      <vt:variant>
        <vt:lpwstr>_Toc131062842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76</cp:revision>
  <cp:lastPrinted>2008-01-31T17:09:00Z</cp:lastPrinted>
  <dcterms:created xsi:type="dcterms:W3CDTF">2023-03-30T16:59:00Z</dcterms:created>
  <dcterms:modified xsi:type="dcterms:W3CDTF">2023-05-12T07:58:00Z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